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sz w:val="20"/>
        </w:rPr>
      </w:pPr>
      <w:r>
        <w:rPr>
          <w:rFonts w:ascii="Times New Roman"/>
          <w:sz w:val="20"/>
        </w:rPr>
        <w:drawing>
          <wp:inline distT="0" distB="0" distL="114300" distR="114300">
            <wp:extent cx="2415540" cy="477520"/>
            <wp:effectExtent l="0" t="0" r="3810" b="1778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a:picLocks noChangeAspect="1"/>
                    </pic:cNvPicPr>
                  </pic:nvPicPr>
                  <pic:blipFill>
                    <a:blip r:embed="rId5"/>
                    <a:stretch>
                      <a:fillRect/>
                    </a:stretch>
                  </pic:blipFill>
                  <pic:spPr>
                    <a:xfrm>
                      <a:off x="0" y="0"/>
                      <a:ext cx="2415540" cy="477520"/>
                    </a:xfrm>
                    <a:prstGeom prst="rect">
                      <a:avLst/>
                    </a:prstGeom>
                    <a:noFill/>
                    <a:ln>
                      <a:noFill/>
                    </a:ln>
                  </pic:spPr>
                </pic:pic>
              </a:graphicData>
            </a:graphic>
          </wp:inline>
        </w:drawing>
      </w:r>
      <w:bookmarkStart w:id="45" w:name="_GoBack"/>
      <w:bookmarkEnd w:id="45"/>
    </w:p>
    <w:p>
      <w:pPr>
        <w:rPr>
          <w:rFonts w:ascii="Times New Roman"/>
          <w:sz w:val="20"/>
        </w:rPr>
      </w:pPr>
    </w:p>
    <w:p>
      <w:pPr>
        <w:tabs>
          <w:tab w:val="left" w:pos="1264"/>
          <w:tab w:val="left" w:pos="2529"/>
          <w:tab w:val="left" w:pos="3794"/>
        </w:tabs>
        <w:rPr>
          <w:rFonts w:ascii="楷体" w:eastAsia="楷体"/>
          <w:b/>
          <w:sz w:val="32"/>
        </w:rPr>
      </w:pPr>
      <w:r>
        <w:rPr>
          <w:rFonts w:hint="eastAsia" w:ascii="方正小标宋简体" w:eastAsia="方正小标宋简体"/>
          <w:b/>
          <w:color w:val="FF0000"/>
          <w:spacing w:val="36"/>
          <w:kern w:val="0"/>
          <w:sz w:val="72"/>
          <w:szCs w:val="72"/>
          <w:fitText w:val="8640" w:id="28275770"/>
        </w:rPr>
        <w:t>武生院“抬头看路”简</w:t>
      </w:r>
      <w:r>
        <w:rPr>
          <w:rFonts w:hint="eastAsia" w:ascii="方正小标宋简体" w:eastAsia="方正小标宋简体"/>
          <w:b/>
          <w:color w:val="FF0000"/>
          <w:spacing w:val="0"/>
          <w:kern w:val="0"/>
          <w:sz w:val="72"/>
          <w:szCs w:val="72"/>
          <w:fitText w:val="8640" w:id="28275770"/>
        </w:rPr>
        <w:t>报</w:t>
      </w:r>
    </w:p>
    <w:p>
      <w:pPr>
        <w:tabs>
          <w:tab w:val="left" w:pos="1264"/>
          <w:tab w:val="left" w:pos="2529"/>
          <w:tab w:val="left" w:pos="3794"/>
        </w:tabs>
        <w:spacing w:before="312" w:beforeLines="100" w:after="312" w:afterLines="100"/>
        <w:jc w:val="center"/>
        <w:rPr>
          <w:rFonts w:ascii="楷体" w:eastAsia="楷体"/>
          <w:b/>
          <w:sz w:val="32"/>
        </w:rPr>
      </w:pPr>
      <w:r>
        <w:rPr>
          <w:rFonts w:hint="eastAsia" w:ascii="楷体" w:eastAsia="楷体"/>
          <w:b/>
          <w:sz w:val="32"/>
        </w:rPr>
        <w:t>2022年第</w:t>
      </w:r>
      <w:r>
        <w:rPr>
          <w:rFonts w:hint="eastAsia" w:ascii="楷体" w:eastAsia="楷体"/>
          <w:b/>
          <w:sz w:val="32"/>
          <w:lang w:val="en-US" w:eastAsia="zh-CN"/>
        </w:rPr>
        <w:t>4</w:t>
      </w:r>
      <w:r>
        <w:rPr>
          <w:rFonts w:hint="eastAsia" w:ascii="楷体" w:eastAsia="楷体"/>
          <w:b/>
          <w:sz w:val="32"/>
        </w:rPr>
        <w:t>期（总第</w:t>
      </w:r>
      <w:r>
        <w:rPr>
          <w:rFonts w:hint="eastAsia" w:ascii="楷体" w:eastAsia="楷体"/>
          <w:b/>
          <w:sz w:val="32"/>
          <w:lang w:val="en-US" w:eastAsia="zh-CN"/>
        </w:rPr>
        <w:t>4</w:t>
      </w:r>
      <w:r>
        <w:rPr>
          <w:rFonts w:hint="eastAsia" w:ascii="楷体" w:eastAsia="楷体"/>
          <w:b/>
          <w:sz w:val="32"/>
        </w:rPr>
        <w:t>期）</w:t>
      </w:r>
    </w:p>
    <w:p>
      <w:pPr>
        <w:tabs>
          <w:tab w:val="left" w:pos="6202"/>
        </w:tabs>
        <w:rPr>
          <w:rFonts w:hint="eastAsia" w:ascii="宋体" w:hAnsi="宋体" w:eastAsia="宋体" w:cs="宋体"/>
          <w:b/>
          <w:color w:val="002060"/>
          <w:sz w:val="32"/>
          <w:szCs w:val="32"/>
        </w:rPr>
      </w:pPr>
      <w:r>
        <w:rPr>
          <w:rFonts w:hint="eastAsia" w:ascii="仿宋" w:hAnsi="仿宋" w:eastAsia="仿宋" w:cs="仿宋"/>
          <w:b/>
          <w:sz w:val="28"/>
        </w:rPr>
        <mc:AlternateContent>
          <mc:Choice Requires="wps">
            <w:drawing>
              <wp:anchor distT="0" distB="0" distL="114300" distR="114300" simplePos="0" relativeHeight="251660288" behindDoc="1" locked="0" layoutInCell="1" allowOverlap="1">
                <wp:simplePos x="0" y="0"/>
                <wp:positionH relativeFrom="page">
                  <wp:posOffset>1087120</wp:posOffset>
                </wp:positionH>
                <wp:positionV relativeFrom="paragraph">
                  <wp:posOffset>327660</wp:posOffset>
                </wp:positionV>
                <wp:extent cx="5582285" cy="62230"/>
                <wp:effectExtent l="0" t="0" r="0" b="13970"/>
                <wp:wrapNone/>
                <wp:docPr id="14" name="任意多边形 2"/>
                <wp:cNvGraphicFramePr/>
                <a:graphic xmlns:a="http://schemas.openxmlformats.org/drawingml/2006/main">
                  <a:graphicData uri="http://schemas.microsoft.com/office/word/2010/wordprocessingShape">
                    <wps:wsp>
                      <wps:cNvSpPr/>
                      <wps:spPr>
                        <a:xfrm>
                          <a:off x="0" y="0"/>
                          <a:ext cx="5582285" cy="62230"/>
                        </a:xfrm>
                        <a:custGeom>
                          <a:avLst/>
                          <a:gdLst/>
                          <a:ahLst/>
                          <a:cxnLst/>
                          <a:rect l="0" t="0" r="0" b="0"/>
                          <a:pathLst>
                            <a:path w="8791" h="98">
                              <a:moveTo>
                                <a:pt x="0" y="98"/>
                              </a:moveTo>
                              <a:lnTo>
                                <a:pt x="0" y="63"/>
                              </a:lnTo>
                              <a:lnTo>
                                <a:pt x="8790" y="0"/>
                              </a:lnTo>
                              <a:lnTo>
                                <a:pt x="8790" y="35"/>
                              </a:lnTo>
                              <a:lnTo>
                                <a:pt x="0" y="98"/>
                              </a:lnTo>
                              <a:close/>
                            </a:path>
                          </a:pathLst>
                        </a:custGeom>
                        <a:solidFill>
                          <a:srgbClr val="FF0000"/>
                        </a:solidFill>
                        <a:ln>
                          <a:noFill/>
                        </a:ln>
                        <a:effectLst/>
                      </wps:spPr>
                      <wps:txbx>
                        <w:txbxContent>
                          <w:p>
                            <w:pPr>
                              <w:jc w:val="center"/>
                            </w:pPr>
                          </w:p>
                        </w:txbxContent>
                      </wps:txbx>
                      <wps:bodyPr vert="horz" wrap="square" anchor="t" anchorCtr="0" upright="1"/>
                    </wps:wsp>
                  </a:graphicData>
                </a:graphic>
              </wp:anchor>
            </w:drawing>
          </mc:Choice>
          <mc:Fallback>
            <w:pict>
              <v:shape id="任意多边形 2" o:spid="_x0000_s1026" o:spt="100" style="position:absolute;left:0pt;margin-left:85.6pt;margin-top:25.8pt;height:4.9pt;width:439.55pt;mso-position-horizontal-relative:page;z-index:-251656192;mso-width-relative:page;mso-height-relative:page;" fillcolor="#FF0000" filled="t" stroked="f" coordsize="8791,98" o:gfxdata="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EaoVanWAAAACgEAAA8AAAAAAAAAAQAg&#10;AAAAIgAAAGRycy9kb3ducmV2LnhtbFBLAQIUABQAAAAIAIdO4kAs7DHVSQIAAOwEAAAOAAAAAAAA&#10;AAEAIAAAACUBAABkcnMvZTJvRG9jLnhtbFBLBQYAAAAABgAGAFkBAADgBQAAAAA=&#10;" path="m0,98l0,63,8790,0,8790,35,0,98xe">
                <v:path textboxrect="0,0,8791,98"/>
                <v:fill on="t" focussize="0,0"/>
                <v:stroke on="f"/>
                <v:imagedata o:title=""/>
                <o:lock v:ext="edit" aspectratio="f"/>
                <v:textbox>
                  <w:txbxContent>
                    <w:p>
                      <w:pPr>
                        <w:jc w:val="center"/>
                      </w:pPr>
                    </w:p>
                  </w:txbxContent>
                </v:textbox>
              </v:shape>
            </w:pict>
          </mc:Fallback>
        </mc:AlternateContent>
      </w:r>
      <w:r>
        <w:rPr>
          <w:rFonts w:ascii="仿宋" w:hAnsi="仿宋" w:eastAsia="仿宋" w:cs="仿宋"/>
          <w:b/>
          <w:sz w:val="28"/>
        </w:rPr>
        <w:t>发展规划处</w:t>
      </w:r>
      <w:r>
        <w:rPr>
          <w:rFonts w:hint="eastAsia"/>
          <w:b/>
          <w:sz w:val="28"/>
        </w:rPr>
        <w:t>•</w:t>
      </w:r>
      <w:r>
        <w:rPr>
          <w:rFonts w:ascii="仿宋" w:hAnsi="仿宋" w:eastAsia="仿宋" w:cs="仿宋"/>
          <w:b/>
          <w:sz w:val="28"/>
        </w:rPr>
        <w:t>民办高等教育研究所</w:t>
      </w:r>
      <w:r>
        <w:rPr>
          <w:rFonts w:hint="eastAsia" w:ascii="仿宋" w:hAnsi="仿宋" w:eastAsia="仿宋" w:cs="仿宋"/>
          <w:b/>
          <w:sz w:val="28"/>
        </w:rPr>
        <w:t xml:space="preserve"> </w:t>
      </w:r>
      <w:r>
        <w:rPr>
          <w:rFonts w:hint="eastAsia" w:ascii="Microsoft JhengHei" w:hAnsi="Microsoft JhengHei"/>
          <w:b/>
          <w:sz w:val="28"/>
        </w:rPr>
        <w:t xml:space="preserve">              </w:t>
      </w:r>
      <w:r>
        <w:rPr>
          <w:rFonts w:hint="eastAsia" w:ascii="仿宋" w:hAnsi="仿宋" w:eastAsia="仿宋" w:cs="仿宋"/>
          <w:b/>
          <w:sz w:val="28"/>
        </w:rPr>
        <w:t>2022年3月</w:t>
      </w:r>
      <w:r>
        <w:rPr>
          <w:rFonts w:hint="eastAsia" w:ascii="仿宋" w:hAnsi="仿宋" w:eastAsia="仿宋" w:cs="仿宋"/>
          <w:b/>
          <w:sz w:val="28"/>
          <w:lang w:val="en-US" w:eastAsia="zh-CN"/>
        </w:rPr>
        <w:t>9</w:t>
      </w:r>
      <w:r>
        <w:rPr>
          <w:rFonts w:hint="eastAsia" w:ascii="仿宋" w:hAnsi="仿宋" w:eastAsia="仿宋" w:cs="仿宋"/>
          <w:b/>
          <w:sz w:val="28"/>
        </w:rPr>
        <w:t>日</w:t>
      </w:r>
      <w:bookmarkStart w:id="0" w:name="【工作动态】"/>
      <w:bookmarkEnd w:id="0"/>
    </w:p>
    <w:p>
      <w:pPr>
        <w:spacing w:before="312" w:beforeLines="100" w:after="312" w:afterLines="100"/>
        <w:jc w:val="center"/>
        <w:rPr>
          <w:sz w:val="32"/>
          <w:szCs w:val="32"/>
        </w:rPr>
      </w:pPr>
      <w:r>
        <w:rPr>
          <w:rFonts w:hint="eastAsia" w:ascii="黑体" w:hAnsi="黑体" w:eastAsia="黑体" w:cs="黑体"/>
          <w:b/>
          <w:color w:val="000000"/>
          <w:sz w:val="32"/>
          <w:szCs w:val="32"/>
        </w:rPr>
        <w:t>目    录</w:t>
      </w:r>
    </w:p>
    <w:p>
      <w:pPr>
        <w:pStyle w:val="7"/>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黑体" w:hAnsi="黑体" w:eastAsia="黑体" w:cs="黑体"/>
          <w:b/>
          <w:bCs w:val="0"/>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rPr>
          <w:rFonts w:hint="eastAsia" w:ascii="黑体" w:hAnsi="黑体" w:eastAsia="黑体" w:cs="黑体"/>
          <w:b/>
          <w:bCs w:val="0"/>
          <w:sz w:val="28"/>
          <w:szCs w:val="28"/>
        </w:rPr>
        <w:fldChar w:fldCharType="begin"/>
      </w:r>
      <w:r>
        <w:rPr>
          <w:rFonts w:hint="eastAsia" w:ascii="黑体" w:hAnsi="黑体" w:eastAsia="黑体" w:cs="黑体"/>
          <w:b/>
          <w:bCs w:val="0"/>
          <w:sz w:val="28"/>
          <w:szCs w:val="28"/>
        </w:rPr>
        <w:instrText xml:space="preserve"> HYPERLINK \l _Toc11777 </w:instrText>
      </w:r>
      <w:r>
        <w:rPr>
          <w:rFonts w:hint="eastAsia" w:ascii="黑体" w:hAnsi="黑体" w:eastAsia="黑体" w:cs="黑体"/>
          <w:b/>
          <w:bCs w:val="0"/>
          <w:sz w:val="28"/>
          <w:szCs w:val="28"/>
        </w:rPr>
        <w:fldChar w:fldCharType="separate"/>
      </w:r>
      <w:r>
        <w:rPr>
          <w:rFonts w:hint="eastAsia" w:ascii="黑体" w:hAnsi="黑体" w:eastAsia="黑体" w:cs="黑体"/>
          <w:b/>
          <w:bCs w:val="0"/>
          <w:sz w:val="28"/>
          <w:szCs w:val="28"/>
        </w:rPr>
        <w:t>【</w:t>
      </w:r>
      <w:r>
        <w:rPr>
          <w:rFonts w:hint="eastAsia" w:ascii="黑体" w:hAnsi="黑体" w:eastAsia="黑体" w:cs="黑体"/>
          <w:b/>
          <w:bCs w:val="0"/>
          <w:sz w:val="28"/>
          <w:szCs w:val="28"/>
          <w:lang w:eastAsia="zh-CN"/>
        </w:rPr>
        <w:t>战略谋划</w:t>
      </w:r>
      <w:r>
        <w:rPr>
          <w:rFonts w:hint="eastAsia" w:ascii="黑体" w:hAnsi="黑体" w:eastAsia="黑体" w:cs="黑体"/>
          <w:b/>
          <w:bCs w:val="0"/>
          <w:sz w:val="28"/>
          <w:szCs w:val="28"/>
        </w:rPr>
        <w:t>】</w:t>
      </w:r>
      <w:r>
        <w:rPr>
          <w:rFonts w:hint="eastAsia" w:ascii="黑体" w:hAnsi="黑体" w:eastAsia="黑体" w:cs="黑体"/>
          <w:b/>
          <w:bCs w:val="0"/>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_Toc20428 </w:instrText>
      </w:r>
      <w:r>
        <w:rPr>
          <w:rFonts w:hint="eastAsia" w:ascii="宋体" w:hAnsi="宋体" w:eastAsia="宋体" w:cs="宋体"/>
          <w:bCs/>
          <w:sz w:val="28"/>
          <w:szCs w:val="28"/>
        </w:rPr>
        <w:fldChar w:fldCharType="separate"/>
      </w:r>
      <w:r>
        <w:rPr>
          <w:rFonts w:hint="eastAsia" w:ascii="宋体" w:hAnsi="宋体" w:eastAsia="宋体" w:cs="宋体"/>
          <w:sz w:val="28"/>
          <w:szCs w:val="28"/>
          <w:lang w:val="en-US" w:eastAsia="zh-CN"/>
        </w:rPr>
        <w:t>教育部思想政治工作司2022年工作要点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_Toc20428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_Toc24373 </w:instrText>
      </w:r>
      <w:r>
        <w:rPr>
          <w:rFonts w:hint="eastAsia" w:ascii="宋体" w:hAnsi="宋体" w:eastAsia="宋体" w:cs="宋体"/>
          <w:bCs/>
          <w:sz w:val="28"/>
          <w:szCs w:val="28"/>
        </w:rPr>
        <w:fldChar w:fldCharType="separate"/>
      </w:r>
      <w:r>
        <w:rPr>
          <w:rFonts w:hint="eastAsia" w:ascii="黑体" w:hAnsi="黑体" w:eastAsia="黑体" w:cs="黑体"/>
          <w:b/>
          <w:bCs w:val="0"/>
          <w:sz w:val="28"/>
          <w:szCs w:val="28"/>
        </w:rPr>
        <w:t>【</w:t>
      </w:r>
      <w:r>
        <w:rPr>
          <w:rFonts w:hint="eastAsia" w:ascii="黑体" w:hAnsi="黑体" w:eastAsia="黑体" w:cs="黑体"/>
          <w:b/>
          <w:bCs w:val="0"/>
          <w:sz w:val="28"/>
          <w:szCs w:val="28"/>
          <w:lang w:eastAsia="zh-CN"/>
        </w:rPr>
        <w:t>百家论坛</w:t>
      </w:r>
      <w:r>
        <w:rPr>
          <w:rFonts w:hint="eastAsia" w:ascii="黑体" w:hAnsi="黑体" w:eastAsia="黑体" w:cs="黑体"/>
          <w:b/>
          <w:bCs w:val="0"/>
          <w:sz w:val="28"/>
          <w:szCs w:val="28"/>
        </w:rPr>
        <w:t>】</w:t>
      </w:r>
      <w:r>
        <w:rPr>
          <w:rFonts w:hint="eastAsia" w:ascii="宋体" w:hAnsi="宋体" w:eastAsia="宋体" w:cs="宋体"/>
          <w:bCs/>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_Toc18641 </w:instrText>
      </w:r>
      <w:r>
        <w:rPr>
          <w:rFonts w:hint="eastAsia" w:ascii="宋体" w:hAnsi="宋体" w:eastAsia="宋体" w:cs="宋体"/>
          <w:bCs/>
          <w:sz w:val="28"/>
          <w:szCs w:val="28"/>
        </w:rPr>
        <w:fldChar w:fldCharType="separate"/>
      </w:r>
      <w:r>
        <w:rPr>
          <w:rFonts w:hint="eastAsia" w:ascii="宋体" w:hAnsi="宋体" w:eastAsia="宋体" w:cs="宋体"/>
          <w:sz w:val="28"/>
          <w:szCs w:val="28"/>
          <w:lang w:val="en-US" w:eastAsia="zh-CN"/>
        </w:rPr>
        <w:t>开启教育元宇宙新世界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_Toc18641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_Toc8675 </w:instrText>
      </w:r>
      <w:r>
        <w:rPr>
          <w:rFonts w:hint="eastAsia" w:ascii="宋体" w:hAnsi="宋体" w:eastAsia="宋体" w:cs="宋体"/>
          <w:bCs/>
          <w:sz w:val="28"/>
          <w:szCs w:val="28"/>
        </w:rPr>
        <w:fldChar w:fldCharType="separate"/>
      </w:r>
      <w:r>
        <w:rPr>
          <w:rFonts w:hint="eastAsia" w:ascii="宋体" w:hAnsi="宋体" w:eastAsia="宋体" w:cs="宋体"/>
          <w:sz w:val="28"/>
          <w:szCs w:val="28"/>
        </w:rPr>
        <w:t>推动“五融合”破解“两张皮”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_Toc8675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_Toc31915 </w:instrText>
      </w:r>
      <w:r>
        <w:rPr>
          <w:rFonts w:hint="eastAsia" w:ascii="宋体" w:hAnsi="宋体" w:eastAsia="宋体" w:cs="宋体"/>
          <w:bCs/>
          <w:sz w:val="28"/>
          <w:szCs w:val="28"/>
        </w:rPr>
        <w:fldChar w:fldCharType="separate"/>
      </w:r>
      <w:r>
        <w:rPr>
          <w:rFonts w:hint="eastAsia" w:ascii="宋体" w:hAnsi="宋体" w:eastAsia="宋体" w:cs="宋体"/>
          <w:bCs/>
          <w:sz w:val="28"/>
          <w:szCs w:val="28"/>
        </w:rPr>
        <w:t>全面提高思政课质量和水平</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_Toc31915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_Toc844 </w:instrText>
      </w:r>
      <w:r>
        <w:rPr>
          <w:rFonts w:hint="eastAsia" w:ascii="宋体" w:hAnsi="宋体" w:eastAsia="宋体" w:cs="宋体"/>
          <w:bCs/>
          <w:sz w:val="28"/>
          <w:szCs w:val="28"/>
        </w:rPr>
        <w:fldChar w:fldCharType="separate"/>
      </w:r>
      <w:r>
        <w:rPr>
          <w:rFonts w:hint="eastAsia" w:ascii="宋体" w:hAnsi="宋体" w:eastAsia="宋体" w:cs="宋体"/>
          <w:sz w:val="28"/>
          <w:szCs w:val="28"/>
        </w:rPr>
        <w:t>推进高校“专创融合”关键在抓牢“创新”</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_Toc844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_Toc4017 </w:instrText>
      </w:r>
      <w:r>
        <w:rPr>
          <w:rFonts w:hint="eastAsia" w:ascii="宋体" w:hAnsi="宋体" w:eastAsia="宋体" w:cs="宋体"/>
          <w:bCs/>
          <w:sz w:val="28"/>
          <w:szCs w:val="28"/>
        </w:rPr>
        <w:fldChar w:fldCharType="separate"/>
      </w:r>
      <w:r>
        <w:rPr>
          <w:rFonts w:hint="eastAsia" w:ascii="黑体" w:hAnsi="黑体" w:eastAsia="黑体" w:cs="黑体"/>
          <w:b/>
          <w:bCs w:val="0"/>
          <w:sz w:val="28"/>
          <w:szCs w:val="28"/>
        </w:rPr>
        <w:t>【</w:t>
      </w:r>
      <w:r>
        <w:rPr>
          <w:rFonts w:hint="eastAsia" w:ascii="黑体" w:hAnsi="黑体" w:eastAsia="黑体" w:cs="黑体"/>
          <w:b/>
          <w:bCs w:val="0"/>
          <w:sz w:val="28"/>
          <w:szCs w:val="28"/>
          <w:lang w:eastAsia="zh-CN"/>
        </w:rPr>
        <w:t>他山之石</w:t>
      </w:r>
      <w:r>
        <w:rPr>
          <w:rFonts w:hint="eastAsia" w:ascii="黑体" w:hAnsi="黑体" w:eastAsia="黑体" w:cs="黑体"/>
          <w:b/>
          <w:bCs w:val="0"/>
          <w:sz w:val="28"/>
          <w:szCs w:val="28"/>
        </w:rPr>
        <w:t>】</w:t>
      </w:r>
      <w:r>
        <w:rPr>
          <w:rFonts w:hint="eastAsia" w:ascii="宋体" w:hAnsi="宋体" w:eastAsia="宋体" w:cs="宋体"/>
          <w:bCs/>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_Toc6678 </w:instrText>
      </w:r>
      <w:r>
        <w:rPr>
          <w:rFonts w:hint="eastAsia" w:ascii="宋体" w:hAnsi="宋体" w:eastAsia="宋体" w:cs="宋体"/>
          <w:bCs/>
          <w:sz w:val="28"/>
          <w:szCs w:val="28"/>
        </w:rPr>
        <w:fldChar w:fldCharType="separate"/>
      </w:r>
      <w:r>
        <w:rPr>
          <w:rFonts w:hint="eastAsia" w:ascii="宋体" w:hAnsi="宋体" w:eastAsia="宋体" w:cs="宋体"/>
          <w:sz w:val="28"/>
          <w:szCs w:val="28"/>
        </w:rPr>
        <w:t>中国地质大学（武汉）</w:t>
      </w:r>
      <w:r>
        <w:rPr>
          <w:rFonts w:hint="eastAsia" w:ascii="宋体" w:hAnsi="宋体" w:eastAsia="宋体" w:cs="宋体"/>
          <w:sz w:val="28"/>
          <w:szCs w:val="28"/>
          <w:lang w:eastAsia="zh-CN"/>
        </w:rPr>
        <w:t>：</w:t>
      </w:r>
      <w:r>
        <w:rPr>
          <w:rFonts w:hint="eastAsia" w:ascii="宋体" w:hAnsi="宋体" w:eastAsia="宋体" w:cs="宋体"/>
          <w:sz w:val="28"/>
          <w:szCs w:val="28"/>
        </w:rPr>
        <w:t>持续深化教师评价改革</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_Toc6678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_Toc31452 </w:instrText>
      </w:r>
      <w:r>
        <w:rPr>
          <w:rFonts w:hint="eastAsia" w:ascii="宋体" w:hAnsi="宋体" w:eastAsia="宋体" w:cs="宋体"/>
          <w:bCs/>
          <w:sz w:val="28"/>
          <w:szCs w:val="28"/>
        </w:rPr>
        <w:fldChar w:fldCharType="separate"/>
      </w:r>
      <w:r>
        <w:rPr>
          <w:rFonts w:hint="eastAsia" w:ascii="宋体" w:hAnsi="宋体" w:eastAsia="宋体" w:cs="宋体"/>
          <w:bCs/>
          <w:kern w:val="44"/>
          <w:sz w:val="28"/>
          <w:szCs w:val="28"/>
          <w:lang w:val="en-US" w:eastAsia="zh-CN" w:bidi="ar-SA"/>
        </w:rPr>
        <w:t>中南大学：聚焦学科特色 探索沉浸式劳育新模式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_Toc31452 \h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_Toc27804 </w:instrText>
      </w:r>
      <w:r>
        <w:rPr>
          <w:rFonts w:hint="eastAsia" w:ascii="宋体" w:hAnsi="宋体" w:eastAsia="宋体" w:cs="宋体"/>
          <w:bCs/>
          <w:sz w:val="28"/>
          <w:szCs w:val="28"/>
        </w:rPr>
        <w:fldChar w:fldCharType="separate"/>
      </w:r>
      <w:r>
        <w:rPr>
          <w:rFonts w:hint="eastAsia" w:ascii="宋体" w:hAnsi="宋体" w:eastAsia="宋体" w:cs="宋体"/>
          <w:bCs/>
          <w:sz w:val="28"/>
          <w:szCs w:val="28"/>
        </w:rPr>
        <w:t>创新“双元四阶、三融三合”人才培养模式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_Toc27804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_Toc24402 </w:instrText>
      </w:r>
      <w:r>
        <w:rPr>
          <w:rFonts w:hint="eastAsia" w:ascii="宋体" w:hAnsi="宋体" w:eastAsia="宋体" w:cs="宋体"/>
          <w:bCs/>
          <w:sz w:val="28"/>
          <w:szCs w:val="28"/>
        </w:rPr>
        <w:fldChar w:fldCharType="separate"/>
      </w:r>
      <w:r>
        <w:rPr>
          <w:rFonts w:hint="eastAsia" w:ascii="宋体" w:hAnsi="宋体" w:eastAsia="宋体" w:cs="宋体"/>
          <w:bCs/>
          <w:kern w:val="44"/>
          <w:sz w:val="28"/>
          <w:szCs w:val="28"/>
          <w:lang w:val="en-US" w:eastAsia="zh-CN" w:bidi="ar-SA"/>
        </w:rPr>
        <w:t>成长发生在天地间——湖北红安推进特色劳动教育</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_Toc24402 \h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spacing w:line="520" w:lineRule="exact"/>
        <w:textAlignment w:val="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_Toc25277 </w:instrText>
      </w:r>
      <w:r>
        <w:rPr>
          <w:rFonts w:hint="eastAsia" w:ascii="宋体" w:hAnsi="宋体" w:eastAsia="宋体" w:cs="宋体"/>
          <w:bCs/>
          <w:sz w:val="28"/>
          <w:szCs w:val="28"/>
        </w:rPr>
        <w:fldChar w:fldCharType="separate"/>
      </w:r>
      <w:r>
        <w:rPr>
          <w:rFonts w:hint="eastAsia" w:ascii="黑体" w:hAnsi="黑体" w:eastAsia="黑体" w:cs="黑体"/>
          <w:b/>
          <w:bCs w:val="0"/>
          <w:sz w:val="28"/>
          <w:szCs w:val="28"/>
        </w:rPr>
        <w:t>【</w:t>
      </w:r>
      <w:r>
        <w:rPr>
          <w:rFonts w:hint="eastAsia" w:ascii="黑体" w:hAnsi="黑体" w:eastAsia="黑体" w:cs="黑体"/>
          <w:b/>
          <w:bCs w:val="0"/>
          <w:sz w:val="28"/>
          <w:szCs w:val="28"/>
          <w:lang w:eastAsia="zh-CN"/>
        </w:rPr>
        <w:t>发展概况</w:t>
      </w:r>
      <w:r>
        <w:rPr>
          <w:rFonts w:hint="eastAsia" w:ascii="黑体" w:hAnsi="黑体" w:eastAsia="黑体" w:cs="黑体"/>
          <w:b/>
          <w:bCs w:val="0"/>
          <w:sz w:val="28"/>
          <w:szCs w:val="28"/>
        </w:rPr>
        <w:t>】</w:t>
      </w:r>
      <w:r>
        <w:rPr>
          <w:rFonts w:hint="eastAsia" w:ascii="宋体" w:hAnsi="宋体" w:eastAsia="宋体" w:cs="宋体"/>
          <w:bCs/>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spacing w:line="520" w:lineRule="exact"/>
        <w:textAlignment w:val="auto"/>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_Toc27524 </w:instrText>
      </w:r>
      <w:r>
        <w:rPr>
          <w:rFonts w:hint="eastAsia" w:ascii="宋体" w:hAnsi="宋体" w:eastAsia="宋体" w:cs="宋体"/>
          <w:bCs/>
          <w:sz w:val="28"/>
          <w:szCs w:val="28"/>
        </w:rPr>
        <w:fldChar w:fldCharType="separate"/>
      </w:r>
      <w:r>
        <w:rPr>
          <w:rFonts w:hint="eastAsia" w:ascii="宋体" w:hAnsi="宋体" w:eastAsia="宋体" w:cs="宋体"/>
          <w:sz w:val="28"/>
          <w:szCs w:val="28"/>
          <w:lang w:val="en-US" w:eastAsia="zh-CN"/>
        </w:rPr>
        <w:t>2021年全国教育事业统计主要结果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_Toc27524 \h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val="0"/>
        <w:snapToGrid w:val="0"/>
        <w:spacing w:line="520" w:lineRule="exact"/>
        <w:textAlignment w:val="auto"/>
        <w:rPr>
          <w:rFonts w:ascii="楷体" w:hAnsi="楷体" w:eastAsia="楷体" w:cs="楷体"/>
          <w:b/>
          <w:bCs/>
          <w:szCs w:val="32"/>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bCs/>
          <w:szCs w:val="28"/>
        </w:rPr>
        <w:fldChar w:fldCharType="end"/>
      </w:r>
    </w:p>
    <w:p>
      <w:pPr>
        <w:spacing w:line="440" w:lineRule="exact"/>
        <w:jc w:val="left"/>
        <w:outlineLvl w:val="0"/>
        <w:rPr>
          <w:rFonts w:hint="eastAsia" w:ascii="黑体" w:hAnsi="黑体" w:eastAsia="黑体" w:cs="黑体"/>
          <w:b/>
          <w:bCs/>
          <w:sz w:val="32"/>
          <w:szCs w:val="32"/>
        </w:rPr>
      </w:pPr>
      <w:bookmarkStart w:id="1" w:name="_Toc11777"/>
      <w:r>
        <w:rPr>
          <w:rFonts w:hint="eastAsia" w:ascii="黑体" w:hAnsi="黑体" w:eastAsia="黑体" w:cs="黑体"/>
          <w:b/>
          <w:bCs/>
          <w:sz w:val="32"/>
          <w:szCs w:val="32"/>
        </w:rPr>
        <w:t>【</w:t>
      </w:r>
      <w:r>
        <w:rPr>
          <w:rFonts w:hint="eastAsia" w:ascii="黑体" w:hAnsi="黑体" w:eastAsia="黑体" w:cs="黑体"/>
          <w:b/>
          <w:bCs/>
          <w:sz w:val="32"/>
          <w:szCs w:val="32"/>
          <w:lang w:eastAsia="zh-CN"/>
        </w:rPr>
        <w:t>战略谋划</w:t>
      </w:r>
      <w:r>
        <w:rPr>
          <w:rFonts w:hint="eastAsia" w:ascii="黑体" w:hAnsi="黑体" w:eastAsia="黑体" w:cs="黑体"/>
          <w:b/>
          <w:bCs/>
          <w:sz w:val="32"/>
          <w:szCs w:val="32"/>
        </w:rPr>
        <w:t>】</w:t>
      </w:r>
      <w:bookmarkEnd w:id="1"/>
    </w:p>
    <w:p>
      <w:pPr>
        <w:pStyle w:val="2"/>
        <w:pageBreakBefore w:val="0"/>
        <w:widowControl w:val="0"/>
        <w:kinsoku/>
        <w:wordWrap/>
        <w:overflowPunct/>
        <w:topLinePunct w:val="0"/>
        <w:autoSpaceDE/>
        <w:autoSpaceDN/>
        <w:bidi w:val="0"/>
        <w:adjustRightInd/>
        <w:snapToGrid/>
        <w:spacing w:after="0" w:line="440" w:lineRule="exact"/>
        <w:ind w:left="0" w:leftChars="0"/>
        <w:jc w:val="both"/>
        <w:textAlignment w:val="auto"/>
        <w:rPr>
          <w:rFonts w:hint="eastAsia"/>
        </w:rPr>
      </w:pPr>
    </w:p>
    <w:p>
      <w:pPr>
        <w:pStyle w:val="4"/>
        <w:keepNext/>
        <w:keepLines/>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黑体" w:hAnsi="黑体" w:eastAsia="黑体" w:cs="黑体"/>
          <w:sz w:val="32"/>
          <w:szCs w:val="32"/>
          <w:lang w:val="en-US" w:eastAsia="zh-CN"/>
        </w:rPr>
      </w:pPr>
      <w:bookmarkStart w:id="2" w:name="_Toc31258"/>
      <w:bookmarkStart w:id="3" w:name="_Toc20428"/>
      <w:r>
        <w:rPr>
          <w:rFonts w:hint="eastAsia" w:ascii="黑体" w:hAnsi="黑体" w:eastAsia="黑体" w:cs="黑体"/>
          <w:sz w:val="32"/>
          <w:szCs w:val="32"/>
          <w:lang w:val="en-US" w:eastAsia="zh-CN"/>
        </w:rPr>
        <w:t>教育部思想政治工作司2022年工作要点</w:t>
      </w:r>
      <w:bookmarkEnd w:id="2"/>
      <w:bookmarkEnd w:id="3"/>
    </w:p>
    <w:p>
      <w:pPr>
        <w:keepNext w:val="0"/>
        <w:keepLines w:val="0"/>
        <w:pageBreakBefore w:val="0"/>
        <w:widowControl w:val="0"/>
        <w:kinsoku/>
        <w:wordWrap/>
        <w:overflowPunct/>
        <w:topLinePunct w:val="0"/>
        <w:autoSpaceDE/>
        <w:autoSpaceDN/>
        <w:bidi w:val="0"/>
        <w:adjustRightInd/>
        <w:snapToGrid/>
        <w:spacing w:line="440" w:lineRule="exact"/>
        <w:ind w:left="0" w:leftChars="0"/>
        <w:jc w:val="both"/>
        <w:textAlignment w:val="auto"/>
        <w:rPr>
          <w:rFonts w:hint="eastAsia"/>
        </w:rPr>
      </w:pPr>
    </w:p>
    <w:p>
      <w:pPr>
        <w:spacing w:line="440" w:lineRule="exact"/>
        <w:rPr>
          <w:rFonts w:hint="eastAsia" w:ascii="楷体" w:hAnsi="楷体" w:eastAsia="楷体" w:cs="楷体"/>
          <w:b w:val="0"/>
          <w:bCs w:val="0"/>
          <w:color w:val="auto"/>
          <w:sz w:val="24"/>
          <w:shd w:val="clear" w:color="auto" w:fill="auto"/>
        </w:rPr>
      </w:pPr>
      <w:r>
        <w:rPr>
          <w:rFonts w:hint="eastAsia" w:ascii="楷体" w:hAnsi="楷体" w:eastAsia="楷体" w:cs="楷体"/>
          <w:b/>
          <w:bCs/>
          <w:color w:val="auto"/>
          <w:sz w:val="24"/>
          <w:shd w:val="clear" w:color="auto" w:fill="auto"/>
        </w:rPr>
        <w:t>推荐人：</w:t>
      </w:r>
      <w:r>
        <w:rPr>
          <w:rFonts w:hint="eastAsia" w:ascii="楷体" w:hAnsi="楷体" w:eastAsia="楷体" w:cs="楷体"/>
          <w:b w:val="0"/>
          <w:bCs w:val="0"/>
          <w:color w:val="auto"/>
          <w:sz w:val="24"/>
          <w:shd w:val="clear" w:color="auto" w:fill="auto"/>
        </w:rPr>
        <w:t>高讯、张玉</w:t>
      </w:r>
      <w:r>
        <w:rPr>
          <w:rFonts w:hint="eastAsia" w:ascii="楷体" w:hAnsi="楷体" w:eastAsia="楷体" w:cs="楷体"/>
          <w:b w:val="0"/>
          <w:bCs w:val="0"/>
          <w:color w:val="auto"/>
          <w:sz w:val="24"/>
          <w:shd w:val="clear" w:color="auto" w:fill="auto"/>
          <w:lang w:eastAsia="zh-CN"/>
        </w:rPr>
        <w:t>、</w:t>
      </w:r>
      <w:r>
        <w:rPr>
          <w:rFonts w:hint="eastAsia" w:ascii="楷体" w:hAnsi="楷体" w:eastAsia="楷体" w:cs="楷体"/>
          <w:b w:val="0"/>
          <w:bCs w:val="0"/>
          <w:color w:val="auto"/>
          <w:sz w:val="24"/>
          <w:shd w:val="clear" w:color="auto" w:fill="auto"/>
        </w:rPr>
        <w:t>李丹萍</w:t>
      </w:r>
    </w:p>
    <w:p>
      <w:pPr>
        <w:spacing w:line="440" w:lineRule="exact"/>
        <w:rPr>
          <w:rFonts w:hint="eastAsia" w:ascii="楷体" w:hAnsi="楷体" w:eastAsia="楷体" w:cs="楷体"/>
          <w:bCs/>
          <w:color w:val="auto"/>
          <w:sz w:val="24"/>
          <w:shd w:val="clear" w:color="auto" w:fill="auto"/>
          <w:lang w:val="en-US" w:eastAsia="zh-CN"/>
        </w:rPr>
      </w:pPr>
      <w:r>
        <w:rPr>
          <w:rFonts w:hint="eastAsia" w:ascii="楷体" w:hAnsi="楷体" w:eastAsia="楷体" w:cs="楷体"/>
          <w:b/>
          <w:bCs/>
          <w:color w:val="auto"/>
          <w:sz w:val="24"/>
          <w:shd w:val="clear" w:color="auto" w:fill="auto"/>
          <w:lang w:eastAsia="zh-CN"/>
        </w:rPr>
        <w:t>推荐单位：</w:t>
      </w:r>
      <w:r>
        <w:rPr>
          <w:rFonts w:hint="eastAsia" w:ascii="楷体" w:hAnsi="楷体" w:eastAsia="楷体" w:cs="楷体"/>
          <w:bCs/>
          <w:color w:val="auto"/>
          <w:sz w:val="24"/>
          <w:shd w:val="clear" w:color="auto" w:fill="auto"/>
          <w:lang w:val="en-US" w:eastAsia="zh-CN"/>
        </w:rPr>
        <w:t>资产与采购招标管理处、计算机与信息工程学院、保卫处</w:t>
      </w:r>
    </w:p>
    <w:p>
      <w:pPr>
        <w:spacing w:line="440" w:lineRule="exact"/>
        <w:rPr>
          <w:rFonts w:hint="eastAsia" w:ascii="楷体" w:hAnsi="楷体" w:eastAsia="楷体" w:cs="楷体"/>
          <w:b w:val="0"/>
          <w:bCs w:val="0"/>
          <w:color w:val="auto"/>
          <w:kern w:val="0"/>
          <w:sz w:val="24"/>
          <w:shd w:val="clear" w:color="auto" w:fill="auto"/>
          <w:lang w:eastAsia="zh-CN"/>
        </w:rPr>
      </w:pPr>
      <w:r>
        <w:rPr>
          <w:rFonts w:hint="eastAsia" w:ascii="楷体" w:hAnsi="楷体" w:eastAsia="楷体" w:cs="楷体"/>
          <w:b/>
          <w:bCs/>
          <w:color w:val="auto"/>
          <w:sz w:val="24"/>
          <w:shd w:val="clear" w:color="auto" w:fill="auto"/>
        </w:rPr>
        <w:t>推荐审核人：</w:t>
      </w:r>
      <w:r>
        <w:rPr>
          <w:rFonts w:hint="eastAsia" w:ascii="楷体" w:hAnsi="楷体" w:eastAsia="楷体" w:cs="楷体"/>
          <w:b w:val="0"/>
          <w:bCs w:val="0"/>
          <w:color w:val="auto"/>
          <w:sz w:val="24"/>
          <w:shd w:val="clear" w:color="auto" w:fill="auto"/>
          <w:lang w:eastAsia="zh-CN"/>
        </w:rPr>
        <w:t>刘学贵</w:t>
      </w:r>
    </w:p>
    <w:p>
      <w:pPr>
        <w:pStyle w:val="14"/>
        <w:spacing w:line="440" w:lineRule="exact"/>
        <w:jc w:val="left"/>
        <w:rPr>
          <w:rFonts w:hint="eastAsia" w:ascii="楷体" w:hAnsi="楷体" w:eastAsia="楷体" w:cs="楷体"/>
          <w:b/>
          <w:bCs/>
          <w:color w:val="auto"/>
          <w:sz w:val="24"/>
          <w:shd w:val="clear" w:color="auto" w:fill="auto"/>
          <w:lang w:eastAsia="zh-CN"/>
        </w:rPr>
      </w:pPr>
      <w:r>
        <w:rPr>
          <w:rFonts w:hint="eastAsia" w:ascii="楷体" w:hAnsi="楷体" w:eastAsia="楷体" w:cs="楷体"/>
          <w:b/>
          <w:bCs/>
          <w:color w:val="auto"/>
          <w:sz w:val="24"/>
          <w:shd w:val="clear" w:color="auto" w:fill="auto"/>
        </w:rPr>
        <w:t>推荐理由或点评：</w:t>
      </w:r>
      <w:r>
        <w:rPr>
          <w:rFonts w:hint="eastAsia" w:ascii="楷体" w:hAnsi="楷体" w:eastAsia="楷体" w:cs="楷体"/>
          <w:color w:val="auto"/>
          <w:sz w:val="24"/>
          <w:szCs w:val="24"/>
          <w:shd w:val="clear" w:color="auto" w:fill="auto"/>
        </w:rPr>
        <w:t>以</w:t>
      </w:r>
      <w:r>
        <w:rPr>
          <w:rFonts w:hint="eastAsia" w:ascii="楷体" w:hAnsi="楷体" w:eastAsia="楷体" w:cs="楷体"/>
          <w:color w:val="auto"/>
          <w:sz w:val="24"/>
          <w:szCs w:val="24"/>
          <w:shd w:val="clear" w:color="auto" w:fill="auto"/>
          <w:lang w:eastAsia="zh-CN"/>
        </w:rPr>
        <w:t>教育部思想政治工作司</w:t>
      </w:r>
      <w:r>
        <w:rPr>
          <w:rFonts w:hint="eastAsia" w:ascii="楷体" w:hAnsi="楷体" w:eastAsia="楷体" w:cs="楷体"/>
          <w:color w:val="auto"/>
          <w:sz w:val="24"/>
          <w:szCs w:val="24"/>
          <w:shd w:val="clear" w:color="auto" w:fill="auto"/>
          <w:lang w:val="en-US" w:eastAsia="zh-CN"/>
        </w:rPr>
        <w:t>2022年工作要点为引领，</w:t>
      </w:r>
      <w:r>
        <w:rPr>
          <w:rFonts w:hint="eastAsia" w:ascii="楷体" w:hAnsi="楷体" w:eastAsia="楷体" w:cs="楷体"/>
          <w:color w:val="auto"/>
          <w:sz w:val="24"/>
          <w:szCs w:val="24"/>
          <w:shd w:val="clear" w:color="auto" w:fill="auto"/>
        </w:rPr>
        <w:t>聚焦迎接学习贯彻党的二十大这条贯穿全年工作的主线，按照“质量党建、精准思政、积极维稳、系统推进”的总体思路，全面推动</w:t>
      </w:r>
      <w:r>
        <w:rPr>
          <w:rFonts w:hint="eastAsia" w:ascii="楷体" w:hAnsi="楷体" w:eastAsia="楷体" w:cs="楷体"/>
          <w:color w:val="auto"/>
          <w:sz w:val="24"/>
          <w:szCs w:val="24"/>
          <w:shd w:val="clear" w:color="auto" w:fill="auto"/>
          <w:lang w:eastAsia="zh-CN"/>
        </w:rPr>
        <w:t>学校</w:t>
      </w:r>
      <w:r>
        <w:rPr>
          <w:rFonts w:hint="eastAsia" w:ascii="楷体" w:hAnsi="楷体" w:eastAsia="楷体" w:cs="楷体"/>
          <w:color w:val="auto"/>
          <w:sz w:val="24"/>
          <w:szCs w:val="24"/>
          <w:shd w:val="clear" w:color="auto" w:fill="auto"/>
        </w:rPr>
        <w:t>党建和思想政治工作高质量发展，以实际行动迎接党的二十大胜利召开。</w:t>
      </w:r>
    </w:p>
    <w:p>
      <w:pPr>
        <w:spacing w:line="440" w:lineRule="exact"/>
        <w:rPr>
          <w:rFonts w:hint="eastAsia" w:ascii="楷体" w:hAnsi="楷体" w:eastAsia="楷体" w:cs="楷体"/>
          <w:bCs/>
          <w:color w:val="auto"/>
          <w:sz w:val="24"/>
          <w:shd w:val="clear" w:color="auto" w:fill="auto"/>
          <w:lang w:eastAsia="zh-CN"/>
        </w:rPr>
      </w:pPr>
      <w:r>
        <w:rPr>
          <w:rFonts w:hint="eastAsia" w:ascii="楷体" w:hAnsi="楷体" w:eastAsia="楷体" w:cs="楷体"/>
          <w:b/>
          <w:bCs/>
          <w:color w:val="auto"/>
          <w:sz w:val="24"/>
          <w:shd w:val="clear" w:color="auto" w:fill="auto"/>
        </w:rPr>
        <w:t>来源：</w:t>
      </w:r>
      <w:r>
        <w:rPr>
          <w:rFonts w:hint="eastAsia" w:ascii="楷体" w:hAnsi="楷体" w:eastAsia="楷体" w:cs="楷体"/>
          <w:b w:val="0"/>
          <w:bCs w:val="0"/>
          <w:color w:val="auto"/>
          <w:sz w:val="24"/>
          <w:shd w:val="clear" w:color="auto" w:fill="auto"/>
          <w:lang w:eastAsia="zh-CN"/>
        </w:rPr>
        <w:t>教育部</w:t>
      </w:r>
    </w:p>
    <w:p>
      <w:pPr>
        <w:spacing w:line="440" w:lineRule="exact"/>
        <w:jc w:val="left"/>
        <w:rPr>
          <w:rFonts w:hint="eastAsia" w:ascii="楷体" w:hAnsi="楷体" w:eastAsia="楷体" w:cs="楷体"/>
          <w:bCs/>
          <w:color w:val="auto"/>
          <w:sz w:val="24"/>
          <w:shd w:val="clear" w:color="auto" w:fill="auto"/>
          <w:lang w:val="en-US" w:eastAsia="zh-CN"/>
        </w:rPr>
      </w:pPr>
      <w:r>
        <w:rPr>
          <w:rFonts w:hint="eastAsia" w:ascii="楷体" w:hAnsi="楷体" w:eastAsia="楷体" w:cs="楷体"/>
          <w:b/>
          <w:bCs w:val="0"/>
          <w:color w:val="auto"/>
          <w:sz w:val="24"/>
          <w:shd w:val="clear" w:color="auto" w:fill="auto"/>
          <w:lang w:val="en-US" w:eastAsia="zh-CN"/>
        </w:rPr>
        <w:t>网址：</w:t>
      </w:r>
      <w:r>
        <w:rPr>
          <w:rFonts w:hint="eastAsia" w:ascii="楷体" w:hAnsi="楷体" w:eastAsia="楷体" w:cs="楷体"/>
          <w:b w:val="0"/>
          <w:bCs/>
          <w:color w:val="auto"/>
          <w:sz w:val="24"/>
          <w:shd w:val="clear" w:color="auto" w:fill="auto"/>
          <w:lang w:val="en-US" w:eastAsia="zh-CN"/>
        </w:rPr>
        <w:t>http://www.moe.gov.cn/s78/A12/gongzuo/yaodian/202203/t20220303_604031.html</w:t>
      </w:r>
    </w:p>
    <w:p>
      <w:pPr>
        <w:spacing w:line="440" w:lineRule="exact"/>
        <w:rPr>
          <w:rFonts w:hint="eastAsia" w:ascii="楷体" w:hAnsi="楷体" w:eastAsia="楷体" w:cs="楷体"/>
          <w:bCs/>
          <w:color w:val="auto"/>
          <w:sz w:val="24"/>
          <w:shd w:val="clear" w:color="auto" w:fill="auto"/>
        </w:rPr>
      </w:pPr>
      <w:r>
        <w:rPr>
          <w:rFonts w:hint="eastAsia" w:ascii="楷体" w:hAnsi="楷体" w:eastAsia="楷体" w:cs="楷体"/>
          <w:b/>
          <w:bCs/>
          <w:color w:val="auto"/>
          <w:sz w:val="24"/>
          <w:shd w:val="clear" w:color="auto" w:fill="auto"/>
        </w:rPr>
        <w:t>本文发表时间：</w:t>
      </w:r>
      <w:r>
        <w:rPr>
          <w:rFonts w:hint="eastAsia" w:ascii="楷体" w:hAnsi="楷体" w:eastAsia="楷体" w:cs="楷体"/>
          <w:bCs/>
          <w:color w:val="auto"/>
          <w:sz w:val="24"/>
          <w:shd w:val="clear" w:color="auto" w:fill="auto"/>
        </w:rPr>
        <w:t>2022年</w:t>
      </w:r>
      <w:r>
        <w:rPr>
          <w:rFonts w:hint="eastAsia" w:ascii="楷体" w:hAnsi="楷体" w:eastAsia="楷体" w:cs="楷体"/>
          <w:bCs/>
          <w:color w:val="auto"/>
          <w:sz w:val="24"/>
          <w:shd w:val="clear" w:color="auto" w:fill="auto"/>
          <w:lang w:val="en-US" w:eastAsia="zh-CN"/>
        </w:rPr>
        <w:t>3</w:t>
      </w:r>
      <w:r>
        <w:rPr>
          <w:rFonts w:hint="eastAsia" w:ascii="楷体" w:hAnsi="楷体" w:eastAsia="楷体" w:cs="楷体"/>
          <w:bCs/>
          <w:color w:val="auto"/>
          <w:sz w:val="24"/>
          <w:shd w:val="clear" w:color="auto" w:fill="auto"/>
        </w:rPr>
        <w:t>月</w:t>
      </w:r>
      <w:r>
        <w:rPr>
          <w:rFonts w:hint="eastAsia" w:ascii="楷体" w:hAnsi="楷体" w:eastAsia="楷体" w:cs="楷体"/>
          <w:bCs/>
          <w:color w:val="auto"/>
          <w:sz w:val="24"/>
          <w:shd w:val="clear" w:color="auto" w:fill="auto"/>
          <w:lang w:val="en-US" w:eastAsia="zh-CN"/>
        </w:rPr>
        <w:t>3</w:t>
      </w:r>
      <w:r>
        <w:rPr>
          <w:rFonts w:hint="eastAsia" w:ascii="楷体" w:hAnsi="楷体" w:eastAsia="楷体" w:cs="楷体"/>
          <w:bCs/>
          <w:color w:val="auto"/>
          <w:sz w:val="24"/>
          <w:shd w:val="clear" w:color="auto" w:fill="auto"/>
        </w:rPr>
        <w:t>日</w:t>
      </w:r>
    </w:p>
    <w:p>
      <w:pPr>
        <w:spacing w:line="440" w:lineRule="exact"/>
        <w:rPr>
          <w:rFonts w:hint="eastAsia" w:ascii="楷体" w:hAnsi="楷体" w:eastAsia="楷体" w:cs="楷体"/>
          <w:bCs/>
          <w:color w:val="auto"/>
          <w:sz w:val="24"/>
          <w:shd w:val="clear" w:color="auto" w:fill="auto"/>
        </w:rPr>
      </w:pPr>
      <w:r>
        <w:rPr>
          <w:rFonts w:hint="eastAsia" w:ascii="楷体" w:hAnsi="楷体" w:eastAsia="楷体" w:cs="楷体"/>
          <w:b/>
          <w:bCs/>
          <w:color w:val="auto"/>
          <w:sz w:val="24"/>
          <w:shd w:val="clear" w:color="auto" w:fill="auto"/>
        </w:rPr>
        <w:t>本文推荐时间：</w:t>
      </w:r>
      <w:r>
        <w:rPr>
          <w:rFonts w:hint="eastAsia" w:ascii="楷体" w:hAnsi="楷体" w:eastAsia="楷体" w:cs="楷体"/>
          <w:bCs/>
          <w:color w:val="auto"/>
          <w:sz w:val="24"/>
          <w:shd w:val="clear" w:color="auto" w:fill="auto"/>
        </w:rPr>
        <w:t>2022年3月4日</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textAlignment w:val="auto"/>
        <w:rPr>
          <w:rFonts w:hint="eastAsia"/>
        </w:rPr>
      </w:pP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color w:val="auto"/>
          <w:sz w:val="24"/>
          <w:szCs w:val="24"/>
          <w:shd w:val="clear" w:color="auto" w:fill="auto"/>
        </w:rPr>
      </w:pPr>
      <w:r>
        <w:rPr>
          <w:rStyle w:val="11"/>
          <w:rFonts w:hint="eastAsia" w:ascii="宋体" w:hAnsi="宋体" w:eastAsia="宋体" w:cs="宋体"/>
          <w:color w:val="auto"/>
          <w:sz w:val="24"/>
          <w:szCs w:val="24"/>
          <w:shd w:val="clear" w:color="auto" w:fill="auto"/>
          <w:lang w:eastAsia="zh-CN"/>
        </w:rPr>
        <w:t>一、</w:t>
      </w:r>
      <w:r>
        <w:rPr>
          <w:rStyle w:val="11"/>
          <w:rFonts w:hint="eastAsia" w:ascii="宋体" w:hAnsi="宋体" w:eastAsia="宋体" w:cs="宋体"/>
          <w:color w:val="auto"/>
          <w:sz w:val="24"/>
          <w:szCs w:val="24"/>
          <w:shd w:val="clear" w:color="auto" w:fill="auto"/>
        </w:rPr>
        <w:t>精心组织实施高校师生迎接学习宣传党的二十大专项行动</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color w:val="auto"/>
          <w:sz w:val="24"/>
          <w:szCs w:val="24"/>
          <w:shd w:val="clear" w:color="auto" w:fill="auto"/>
        </w:rPr>
      </w:pPr>
      <w:r>
        <w:rPr>
          <w:rStyle w:val="11"/>
          <w:rFonts w:hint="eastAsia" w:ascii="宋体" w:hAnsi="宋体" w:eastAsia="宋体" w:cs="宋体"/>
          <w:color w:val="auto"/>
          <w:sz w:val="24"/>
          <w:szCs w:val="24"/>
          <w:shd w:val="clear" w:color="auto" w:fill="auto"/>
        </w:rPr>
        <w:t>1.夯实思想理论根基。</w:t>
      </w:r>
      <w:r>
        <w:rPr>
          <w:rFonts w:hint="eastAsia" w:ascii="宋体" w:hAnsi="宋体" w:eastAsia="宋体" w:cs="宋体"/>
          <w:color w:val="auto"/>
          <w:sz w:val="24"/>
          <w:szCs w:val="24"/>
          <w:shd w:val="clear" w:color="auto" w:fill="auto"/>
        </w:rPr>
        <w:t>指导高校深入学习贯彻党的十九届六中全会精神，巩固拓展党史学习教育成果，推动党史学习教育常态化长效化。系统总结党的十八大以来高校党建和思想政治工作成效经验，筹备召开第28次全国高校党的建设工作会议。在中央党校举办全国公办本科高校党委书记校长提高政治能力专题培训班。深化“领导干部上讲台”“新时代先进人物进校园”等工作，广泛开展理论宣讲、专题培训、热点解读。</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color w:val="auto"/>
          <w:sz w:val="24"/>
          <w:szCs w:val="24"/>
          <w:shd w:val="clear" w:color="auto" w:fill="auto"/>
        </w:rPr>
      </w:pPr>
      <w:r>
        <w:rPr>
          <w:rStyle w:val="11"/>
          <w:rFonts w:hint="eastAsia" w:ascii="宋体" w:hAnsi="宋体" w:eastAsia="宋体" w:cs="宋体"/>
          <w:color w:val="auto"/>
          <w:sz w:val="24"/>
          <w:szCs w:val="24"/>
          <w:shd w:val="clear" w:color="auto" w:fill="auto"/>
        </w:rPr>
        <w:t>2.深化巡视整改成果。</w:t>
      </w:r>
      <w:r>
        <w:rPr>
          <w:rFonts w:hint="eastAsia" w:ascii="宋体" w:hAnsi="宋体" w:eastAsia="宋体" w:cs="宋体"/>
          <w:color w:val="auto"/>
          <w:sz w:val="24"/>
          <w:szCs w:val="24"/>
          <w:shd w:val="clear" w:color="auto" w:fill="auto"/>
        </w:rPr>
        <w:t>持续抓好中央巡视整改“后半篇文章”，确保需要长期推进的整改任务落地落实。配合有关部门推动完善高校党建工作体制机制。健全高校意识形态工作联系机制，实现部党组联系点对各地和任务较重高校的全覆盖。做好与驻部纪检监察组、相关司局的配合联动，加强对中管高校巡视整改工作的指导和督促。</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color w:val="auto"/>
          <w:sz w:val="24"/>
          <w:szCs w:val="24"/>
          <w:shd w:val="clear" w:color="auto" w:fill="auto"/>
        </w:rPr>
      </w:pPr>
      <w:r>
        <w:rPr>
          <w:rStyle w:val="11"/>
          <w:rFonts w:hint="eastAsia" w:ascii="宋体" w:hAnsi="宋体" w:eastAsia="宋体" w:cs="宋体"/>
          <w:color w:val="auto"/>
          <w:sz w:val="24"/>
          <w:szCs w:val="24"/>
          <w:shd w:val="clear" w:color="auto" w:fill="auto"/>
        </w:rPr>
        <w:t>3.全力营造浓厚氛围。</w:t>
      </w:r>
      <w:r>
        <w:rPr>
          <w:rFonts w:hint="eastAsia" w:ascii="宋体" w:hAnsi="宋体" w:eastAsia="宋体" w:cs="宋体"/>
          <w:color w:val="auto"/>
          <w:sz w:val="24"/>
          <w:szCs w:val="24"/>
          <w:shd w:val="clear" w:color="auto" w:fill="auto"/>
        </w:rPr>
        <w:t>组织开展2022年高校师生思想政治状况滚动调查。指导高校围绕“奋进新征程、建功新时代”主旋律，开展“青春献礼二十大，强国有我新征程”主题宣传教育活动，进一步进行爱国主义教育。以“青春奋斗”为重点，会同相关部门开展高校师生服务保障北京冬奥会全国巡讲。分阶段开展“我们这十年”重温寻访、“小我融入大我，青春献给祖国”社会实践、“青春告白祖国”等工作。统筹做好党的二十大重要保障期教育系统安保维稳工作。加强高校宣传思想阵地管理，严防有关错误思潮在校园传播。</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color w:val="auto"/>
          <w:sz w:val="24"/>
          <w:szCs w:val="24"/>
          <w:shd w:val="clear" w:color="auto" w:fill="auto"/>
        </w:rPr>
      </w:pPr>
      <w:r>
        <w:rPr>
          <w:rStyle w:val="11"/>
          <w:rFonts w:hint="eastAsia" w:ascii="宋体" w:hAnsi="宋体" w:eastAsia="宋体" w:cs="宋体"/>
          <w:color w:val="auto"/>
          <w:sz w:val="24"/>
          <w:szCs w:val="24"/>
          <w:shd w:val="clear" w:color="auto" w:fill="auto"/>
        </w:rPr>
        <w:t>4.迅速掀起学习热潮。</w:t>
      </w:r>
      <w:r>
        <w:rPr>
          <w:rFonts w:hint="eastAsia" w:ascii="宋体" w:hAnsi="宋体" w:eastAsia="宋体" w:cs="宋体"/>
          <w:color w:val="auto"/>
          <w:sz w:val="24"/>
          <w:szCs w:val="24"/>
          <w:shd w:val="clear" w:color="auto" w:fill="auto"/>
        </w:rPr>
        <w:t>党的二十大召开后，第一时间组织开展高校师生“校园巡讲、网络巡礼”活动。以“奋进担当”为重点，邀请领导干部、专家学者、时代楷模、英雄模范、最美人物和优秀学生代表等组成宣讲团，开展线上微宣讲接力和线下巡讲。加强青春使命教育，开展“党的二十大与我的人生路”专题研学。</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color w:val="auto"/>
          <w:sz w:val="24"/>
          <w:szCs w:val="24"/>
          <w:shd w:val="clear" w:color="auto" w:fill="auto"/>
        </w:rPr>
      </w:pPr>
      <w:r>
        <w:rPr>
          <w:rStyle w:val="11"/>
          <w:rFonts w:hint="eastAsia" w:ascii="宋体" w:hAnsi="宋体" w:eastAsia="宋体" w:cs="宋体"/>
          <w:color w:val="auto"/>
          <w:sz w:val="24"/>
          <w:szCs w:val="24"/>
          <w:shd w:val="clear" w:color="auto" w:fill="auto"/>
          <w:lang w:eastAsia="zh-CN"/>
        </w:rPr>
        <w:t>二、</w:t>
      </w:r>
      <w:r>
        <w:rPr>
          <w:rStyle w:val="11"/>
          <w:rFonts w:hint="eastAsia" w:ascii="宋体" w:hAnsi="宋体" w:eastAsia="宋体" w:cs="宋体"/>
          <w:color w:val="auto"/>
          <w:sz w:val="24"/>
          <w:szCs w:val="24"/>
          <w:shd w:val="clear" w:color="auto" w:fill="auto"/>
        </w:rPr>
        <w:t>深入构建高质量的高校党建工作体系</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color w:val="auto"/>
          <w:sz w:val="24"/>
          <w:szCs w:val="24"/>
          <w:shd w:val="clear" w:color="auto" w:fill="auto"/>
        </w:rPr>
      </w:pPr>
      <w:r>
        <w:rPr>
          <w:rStyle w:val="11"/>
          <w:rFonts w:hint="eastAsia" w:ascii="宋体" w:hAnsi="宋体" w:eastAsia="宋体" w:cs="宋体"/>
          <w:color w:val="auto"/>
          <w:sz w:val="24"/>
          <w:szCs w:val="24"/>
          <w:shd w:val="clear" w:color="auto" w:fill="auto"/>
        </w:rPr>
        <w:t>5.健全高校党建工作运行机制。</w:t>
      </w:r>
      <w:r>
        <w:rPr>
          <w:rFonts w:hint="eastAsia" w:ascii="宋体" w:hAnsi="宋体" w:eastAsia="宋体" w:cs="宋体"/>
          <w:color w:val="auto"/>
          <w:sz w:val="24"/>
          <w:szCs w:val="24"/>
          <w:shd w:val="clear" w:color="auto" w:fill="auto"/>
        </w:rPr>
        <w:t>会同有关部门开展《中国共产党普通高等学校基层组织工作条例》落实情况专项调研检查，“七一”前集中宣传典型做法，推动健全党对高校全面领导的组织体系、制度体系和工作机制。指导第三批新时代高校党建示范创建和质量创优工作培育创建单位做好第一年建设期相关工作，巩固深化前两批示范高校、标杆院系、样板支部工作成果。</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color w:val="auto"/>
          <w:sz w:val="24"/>
          <w:szCs w:val="24"/>
          <w:shd w:val="clear" w:color="auto" w:fill="auto"/>
        </w:rPr>
      </w:pPr>
      <w:r>
        <w:rPr>
          <w:rStyle w:val="11"/>
          <w:rFonts w:hint="eastAsia" w:ascii="宋体" w:hAnsi="宋体" w:eastAsia="宋体" w:cs="宋体"/>
          <w:color w:val="auto"/>
          <w:sz w:val="24"/>
          <w:szCs w:val="24"/>
          <w:shd w:val="clear" w:color="auto" w:fill="auto"/>
        </w:rPr>
        <w:t>6.提升高校基层党组织政治功能。</w:t>
      </w:r>
      <w:r>
        <w:rPr>
          <w:rFonts w:hint="eastAsia" w:ascii="宋体" w:hAnsi="宋体" w:eastAsia="宋体" w:cs="宋体"/>
          <w:color w:val="auto"/>
          <w:sz w:val="24"/>
          <w:szCs w:val="24"/>
          <w:shd w:val="clear" w:color="auto" w:fill="auto"/>
        </w:rPr>
        <w:t>推动《教育系统贯彻落实〈党委（党组）意识形态工作责任制实施办法〉的实施细则》有关要求在高校各级党组织落地见效。组织实施院系党组织书记政治能力提升、教师党支部书记“双带头人”队伍质量攻坚、大学生党支部书记骨干培养等专项计划，部省联动开展相关群体全覆盖培训。开展百名院系党组织书记抓党建笔谈、大学生党支部书记党务工作能力展示等活动。</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color w:val="auto"/>
          <w:sz w:val="24"/>
          <w:szCs w:val="24"/>
          <w:shd w:val="clear" w:color="auto" w:fill="auto"/>
        </w:rPr>
      </w:pPr>
      <w:r>
        <w:rPr>
          <w:rStyle w:val="11"/>
          <w:rFonts w:hint="eastAsia" w:ascii="宋体" w:hAnsi="宋体" w:eastAsia="宋体" w:cs="宋体"/>
          <w:color w:val="auto"/>
          <w:sz w:val="24"/>
          <w:szCs w:val="24"/>
          <w:shd w:val="clear" w:color="auto" w:fill="auto"/>
        </w:rPr>
        <w:t>7.加强高校党建重点难点问题攻关。</w:t>
      </w:r>
      <w:r>
        <w:rPr>
          <w:rFonts w:hint="eastAsia" w:ascii="宋体" w:hAnsi="宋体" w:eastAsia="宋体" w:cs="宋体"/>
          <w:color w:val="auto"/>
          <w:sz w:val="24"/>
          <w:szCs w:val="24"/>
          <w:shd w:val="clear" w:color="auto" w:fill="auto"/>
        </w:rPr>
        <w:t>指导各地各高校积极探索高校党建与事业发展深度融合、以高质量党建引领高校高质量发展的方法路径，及时总结推广“一融双高”有益经验。强化高校党建工作分类指导、精准施策，进一步推动破解低年级大学生党员发展等难题。专项检查民办学校党组织隶属关系调整、落实党建工作进章程等情况。点对点督促推动高校配齐“双带头人”教师党支部书记，提升队伍能力和工作质量。</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jc w:val="both"/>
        <w:textAlignment w:val="auto"/>
        <w:rPr>
          <w:rStyle w:val="11"/>
          <w:rFonts w:hint="eastAsia" w:ascii="宋体" w:hAnsi="宋体" w:eastAsia="宋体" w:cs="宋体"/>
          <w:color w:val="auto"/>
          <w:sz w:val="24"/>
          <w:szCs w:val="24"/>
          <w:shd w:val="clear" w:color="auto" w:fill="auto"/>
        </w:rPr>
      </w:pPr>
      <w:r>
        <w:rPr>
          <w:rStyle w:val="11"/>
          <w:rFonts w:hint="eastAsia" w:ascii="宋体" w:hAnsi="宋体" w:eastAsia="宋体" w:cs="宋体"/>
          <w:color w:val="auto"/>
          <w:sz w:val="24"/>
          <w:szCs w:val="24"/>
          <w:shd w:val="clear" w:color="auto" w:fill="auto"/>
          <w:lang w:eastAsia="zh-CN"/>
        </w:rPr>
        <w:t>三、</w:t>
      </w:r>
      <w:r>
        <w:rPr>
          <w:rStyle w:val="11"/>
          <w:rFonts w:hint="eastAsia" w:ascii="宋体" w:hAnsi="宋体" w:eastAsia="宋体" w:cs="宋体"/>
          <w:color w:val="auto"/>
          <w:sz w:val="24"/>
          <w:szCs w:val="24"/>
          <w:shd w:val="clear" w:color="auto" w:fill="auto"/>
        </w:rPr>
        <w:t>全面推进高校思想政治工作守正创新</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color w:val="auto"/>
          <w:sz w:val="24"/>
          <w:szCs w:val="24"/>
          <w:shd w:val="clear" w:color="auto" w:fill="auto"/>
        </w:rPr>
      </w:pPr>
      <w:r>
        <w:rPr>
          <w:rStyle w:val="11"/>
          <w:rFonts w:hint="eastAsia" w:ascii="宋体" w:hAnsi="宋体" w:eastAsia="宋体" w:cs="宋体"/>
          <w:color w:val="auto"/>
          <w:sz w:val="24"/>
          <w:szCs w:val="24"/>
          <w:shd w:val="clear" w:color="auto" w:fill="auto"/>
        </w:rPr>
        <w:t>8. 谋划实施“时代新人培育工程”。</w:t>
      </w:r>
      <w:r>
        <w:rPr>
          <w:rFonts w:hint="eastAsia" w:ascii="宋体" w:hAnsi="宋体" w:eastAsia="宋体" w:cs="宋体"/>
          <w:color w:val="auto"/>
          <w:sz w:val="24"/>
          <w:szCs w:val="24"/>
          <w:shd w:val="clear" w:color="auto" w:fill="auto"/>
        </w:rPr>
        <w:t>总结推广“三全育人”综合改革试点经验，开展构建高校思想政治工作体系3年任务台账落实情况督查，推动高校思想政治工作有效经验固化转化。围绕理论武装精准化供给、育人资源全方位开发利用、校园文化育人模块开发、网络产品精准推送、党政军企育人共同体建设等构建育人理念落实机制。围绕理论宣传阐释、实践载体拓展、文化产品供给、网络渠道融合、校外资源协作等构建优质供给牵引机制。推动形成协同联动的组织保障体系，构建育人力量聚合机制。</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color w:val="auto"/>
          <w:sz w:val="24"/>
          <w:szCs w:val="24"/>
          <w:shd w:val="clear" w:color="auto" w:fill="auto"/>
        </w:rPr>
      </w:pPr>
      <w:r>
        <w:rPr>
          <w:rStyle w:val="11"/>
          <w:rFonts w:hint="eastAsia" w:ascii="宋体" w:hAnsi="宋体" w:eastAsia="宋体" w:cs="宋体"/>
          <w:color w:val="auto"/>
          <w:sz w:val="24"/>
          <w:szCs w:val="24"/>
          <w:shd w:val="clear" w:color="auto" w:fill="auto"/>
          <w:lang w:val="en-US" w:eastAsia="zh-CN"/>
        </w:rPr>
        <w:t>9.</w:t>
      </w:r>
      <w:r>
        <w:rPr>
          <w:rStyle w:val="11"/>
          <w:rFonts w:hint="eastAsia" w:ascii="宋体" w:hAnsi="宋体" w:eastAsia="宋体" w:cs="宋体"/>
          <w:color w:val="auto"/>
          <w:sz w:val="24"/>
          <w:szCs w:val="24"/>
          <w:shd w:val="clear" w:color="auto" w:fill="auto"/>
        </w:rPr>
        <w:t>提升教师思想政治工作质量。</w:t>
      </w:r>
      <w:r>
        <w:rPr>
          <w:rFonts w:hint="eastAsia" w:ascii="宋体" w:hAnsi="宋体" w:eastAsia="宋体" w:cs="宋体"/>
          <w:color w:val="auto"/>
          <w:sz w:val="24"/>
          <w:szCs w:val="24"/>
          <w:shd w:val="clear" w:color="auto" w:fill="auto"/>
        </w:rPr>
        <w:t>指导高校党委拧紧院系党组织和教师党支部责任链条，抓好教师思想政治工作各项制度落实，做到理论武装制度化、国情教育系统化、谈心谈话常态化、联系服务具体化。推动高校党委发挥组织优势、创新机制方法，探索形成党建引领“大先生”涵养的生态和氛围。指导高校加强高层次人才政治引领和政治吸纳，做好高知识群体党员发展工作。总结推广一批青年教师思想政治工作法和青年教师党员发展教育培训工作案例。</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color w:val="auto"/>
          <w:sz w:val="24"/>
          <w:szCs w:val="24"/>
          <w:shd w:val="clear" w:color="auto" w:fill="auto"/>
        </w:rPr>
      </w:pPr>
      <w:r>
        <w:rPr>
          <w:rStyle w:val="11"/>
          <w:rFonts w:hint="eastAsia" w:ascii="宋体" w:hAnsi="宋体" w:eastAsia="宋体" w:cs="宋体"/>
          <w:color w:val="auto"/>
          <w:sz w:val="24"/>
          <w:szCs w:val="24"/>
          <w:shd w:val="clear" w:color="auto" w:fill="auto"/>
        </w:rPr>
        <w:t>10.创新网络思想政治教育。</w:t>
      </w:r>
      <w:r>
        <w:rPr>
          <w:rFonts w:hint="eastAsia" w:ascii="宋体" w:hAnsi="宋体" w:eastAsia="宋体" w:cs="宋体"/>
          <w:color w:val="auto"/>
          <w:sz w:val="24"/>
          <w:szCs w:val="24"/>
          <w:shd w:val="clear" w:color="auto" w:fill="auto"/>
        </w:rPr>
        <w:t>以中国大学生在线、易班网、全国高校思想政治工作网为牵引，建设网络宣传引导矩阵，加强校级新媒体平台和资源建设专项指导。开展200个高校思政类网络公众号建设成效评估，会同有关部门做好专题培训。办好“全国大学生网络文化节”和“全国高校网络教育优秀作品推选展示活动”。</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color w:val="auto"/>
          <w:sz w:val="24"/>
          <w:szCs w:val="24"/>
          <w:shd w:val="clear" w:color="auto" w:fill="auto"/>
        </w:rPr>
      </w:pPr>
      <w:r>
        <w:rPr>
          <w:rStyle w:val="11"/>
          <w:rFonts w:hint="eastAsia" w:ascii="宋体" w:hAnsi="宋体" w:eastAsia="宋体" w:cs="宋体"/>
          <w:color w:val="auto"/>
          <w:sz w:val="24"/>
          <w:szCs w:val="24"/>
          <w:shd w:val="clear" w:color="auto" w:fill="auto"/>
        </w:rPr>
        <w:t>11.精细推进学生心理健康教育。</w:t>
      </w:r>
      <w:r>
        <w:rPr>
          <w:rFonts w:hint="eastAsia" w:ascii="宋体" w:hAnsi="宋体" w:eastAsia="宋体" w:cs="宋体"/>
          <w:color w:val="auto"/>
          <w:sz w:val="24"/>
          <w:szCs w:val="24"/>
          <w:shd w:val="clear" w:color="auto" w:fill="auto"/>
        </w:rPr>
        <w:t>督促高校落实心理健康教育的人员、场地、经费等政策要求。结合心理健康教育重要节点，开展积极心理品质培育和压力分类疏解等专项行动。强化案例挖掘和数据建模，探索建立精准服务平台。指导高校学生心理健康教育专家指导委员会成立专项工作小组，开展业务攻关和专业指导。</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color w:val="auto"/>
          <w:sz w:val="24"/>
          <w:szCs w:val="24"/>
          <w:shd w:val="clear" w:color="auto" w:fill="auto"/>
        </w:rPr>
      </w:pPr>
      <w:r>
        <w:rPr>
          <w:rStyle w:val="11"/>
          <w:rFonts w:hint="eastAsia" w:ascii="宋体" w:hAnsi="宋体" w:eastAsia="宋体" w:cs="宋体"/>
          <w:color w:val="auto"/>
          <w:sz w:val="24"/>
          <w:szCs w:val="24"/>
          <w:shd w:val="clear" w:color="auto" w:fill="auto"/>
        </w:rPr>
        <w:t>12.全面开展“一站式”学生社区综合管理模式建设。</w:t>
      </w:r>
      <w:r>
        <w:rPr>
          <w:rFonts w:hint="eastAsia" w:ascii="宋体" w:hAnsi="宋体" w:eastAsia="宋体" w:cs="宋体"/>
          <w:color w:val="auto"/>
          <w:sz w:val="24"/>
          <w:szCs w:val="24"/>
          <w:shd w:val="clear" w:color="auto" w:fill="auto"/>
        </w:rPr>
        <w:t>加强对试点高校的指导督促，充分发挥交流展示“云平台”作用，开展学生社区党建引领、宿舍文化、朋辈互助、优良学风等主题宣传展示活动，适时召开工作推进现场会，争取实现对1000所左右高校的覆盖，常态化机制化打造学生党建前沿阵地、“三全育人”实践园地、平安校园样板高地。</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jc w:val="both"/>
        <w:textAlignment w:val="auto"/>
        <w:rPr>
          <w:rStyle w:val="11"/>
          <w:rFonts w:hint="eastAsia" w:ascii="宋体" w:hAnsi="宋体" w:eastAsia="宋体" w:cs="宋体"/>
          <w:color w:val="auto"/>
          <w:sz w:val="24"/>
          <w:szCs w:val="24"/>
          <w:shd w:val="clear" w:color="auto" w:fill="auto"/>
        </w:rPr>
      </w:pPr>
      <w:r>
        <w:rPr>
          <w:rStyle w:val="11"/>
          <w:rFonts w:hint="eastAsia" w:ascii="宋体" w:hAnsi="宋体" w:eastAsia="宋体" w:cs="宋体"/>
          <w:color w:val="auto"/>
          <w:sz w:val="24"/>
          <w:szCs w:val="24"/>
          <w:shd w:val="clear" w:color="auto" w:fill="auto"/>
          <w:lang w:eastAsia="zh-CN"/>
        </w:rPr>
        <w:t>四、</w:t>
      </w:r>
      <w:r>
        <w:rPr>
          <w:rStyle w:val="11"/>
          <w:rFonts w:hint="eastAsia" w:ascii="宋体" w:hAnsi="宋体" w:eastAsia="宋体" w:cs="宋体"/>
          <w:color w:val="auto"/>
          <w:sz w:val="24"/>
          <w:szCs w:val="24"/>
          <w:shd w:val="clear" w:color="auto" w:fill="auto"/>
        </w:rPr>
        <w:t>持续加强高校统一战线工作</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color w:val="auto"/>
          <w:sz w:val="24"/>
          <w:szCs w:val="24"/>
          <w:shd w:val="clear" w:color="auto" w:fill="auto"/>
        </w:rPr>
      </w:pPr>
      <w:r>
        <w:rPr>
          <w:rStyle w:val="11"/>
          <w:rFonts w:hint="eastAsia" w:ascii="宋体" w:hAnsi="宋体" w:eastAsia="宋体" w:cs="宋体"/>
          <w:color w:val="auto"/>
          <w:sz w:val="24"/>
          <w:szCs w:val="24"/>
          <w:shd w:val="clear" w:color="auto" w:fill="auto"/>
        </w:rPr>
        <w:t>13.调研推动高校统战工作。</w:t>
      </w:r>
      <w:r>
        <w:rPr>
          <w:rFonts w:hint="eastAsia" w:ascii="宋体" w:hAnsi="宋体" w:eastAsia="宋体" w:cs="宋体"/>
          <w:color w:val="auto"/>
          <w:sz w:val="24"/>
          <w:szCs w:val="24"/>
          <w:shd w:val="clear" w:color="auto" w:fill="auto"/>
        </w:rPr>
        <w:t>根据中央统一部署，开展高校落实《中国共产党统一战线工作条例》调研检查和落实《中共中央关于加强新时代党外知识分子思想政治工作和无党派代表人士队伍建设的意见》专题调研。针对2016年高校统战工作会议召开以来工作进展情况进行全方位调研。</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color w:val="auto"/>
          <w:sz w:val="24"/>
          <w:szCs w:val="24"/>
          <w:shd w:val="clear" w:color="auto" w:fill="auto"/>
        </w:rPr>
      </w:pPr>
      <w:r>
        <w:rPr>
          <w:rStyle w:val="11"/>
          <w:rFonts w:hint="eastAsia" w:ascii="宋体" w:hAnsi="宋体" w:eastAsia="宋体" w:cs="宋体"/>
          <w:color w:val="auto"/>
          <w:sz w:val="24"/>
          <w:szCs w:val="24"/>
          <w:shd w:val="clear" w:color="auto" w:fill="auto"/>
        </w:rPr>
        <w:t>14.加强涉民族宗教有关工作。</w:t>
      </w:r>
      <w:r>
        <w:rPr>
          <w:rFonts w:hint="eastAsia" w:ascii="宋体" w:hAnsi="宋体" w:eastAsia="宋体" w:cs="宋体"/>
          <w:color w:val="auto"/>
          <w:sz w:val="24"/>
          <w:szCs w:val="24"/>
          <w:shd w:val="clear" w:color="auto" w:fill="auto"/>
        </w:rPr>
        <w:t>配合有关部门抓好中央民族工作会议、全国宗教工作会议精神在高校领域的贯彻落实。指导高校加强中华民族共同体意识教育。</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color w:val="auto"/>
          <w:sz w:val="24"/>
          <w:szCs w:val="24"/>
          <w:shd w:val="clear" w:color="auto" w:fill="auto"/>
          <w:lang w:val="en-US" w:eastAsia="zh-CN"/>
        </w:rPr>
      </w:pPr>
      <w:r>
        <w:rPr>
          <w:rStyle w:val="11"/>
          <w:rFonts w:hint="eastAsia" w:ascii="宋体" w:hAnsi="宋体" w:eastAsia="宋体" w:cs="宋体"/>
          <w:color w:val="auto"/>
          <w:sz w:val="24"/>
          <w:szCs w:val="24"/>
          <w:shd w:val="clear" w:color="auto" w:fill="auto"/>
        </w:rPr>
        <w:t>15.加强党外知识分子思想政治工作。</w:t>
      </w:r>
      <w:r>
        <w:rPr>
          <w:rFonts w:hint="eastAsia" w:ascii="宋体" w:hAnsi="宋体" w:eastAsia="宋体" w:cs="宋体"/>
          <w:color w:val="auto"/>
          <w:sz w:val="24"/>
          <w:szCs w:val="24"/>
          <w:shd w:val="clear" w:color="auto" w:fill="auto"/>
        </w:rPr>
        <w:t>指导开展高校党外知识分子学习贯彻党的二十大精神主题活动，把广大党外知识分子紧密团结在党的周围。加强对高校知识分子“弘扬爱国奋斗精神、建功立业新时代”典型事迹的宣传推广。</w:t>
      </w:r>
      <w:r>
        <w:rPr>
          <w:rFonts w:hint="eastAsia" w:ascii="宋体" w:hAnsi="宋体" w:eastAsia="宋体" w:cs="宋体"/>
          <w:color w:val="auto"/>
          <w:sz w:val="24"/>
          <w:szCs w:val="24"/>
          <w:shd w:val="clear" w:color="auto" w:fill="auto"/>
          <w:lang w:val="en-US" w:eastAsia="zh-CN"/>
        </w:rPr>
        <w:t xml:space="preserve"> </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jc w:val="both"/>
        <w:textAlignment w:val="auto"/>
        <w:rPr>
          <w:rStyle w:val="11"/>
          <w:rFonts w:hint="eastAsia" w:ascii="宋体" w:hAnsi="宋体" w:eastAsia="宋体" w:cs="宋体"/>
          <w:color w:val="auto"/>
          <w:sz w:val="24"/>
          <w:szCs w:val="24"/>
          <w:shd w:val="clear" w:color="auto" w:fill="auto"/>
        </w:rPr>
      </w:pPr>
      <w:r>
        <w:rPr>
          <w:rStyle w:val="11"/>
          <w:rFonts w:hint="eastAsia" w:ascii="宋体" w:hAnsi="宋体" w:eastAsia="宋体" w:cs="宋体"/>
          <w:color w:val="auto"/>
          <w:sz w:val="24"/>
          <w:szCs w:val="24"/>
          <w:shd w:val="clear" w:color="auto" w:fill="auto"/>
          <w:lang w:eastAsia="zh-CN"/>
        </w:rPr>
        <w:t>五、</w:t>
      </w:r>
      <w:r>
        <w:rPr>
          <w:rStyle w:val="11"/>
          <w:rFonts w:hint="eastAsia" w:ascii="宋体" w:hAnsi="宋体" w:eastAsia="宋体" w:cs="宋体"/>
          <w:color w:val="auto"/>
          <w:sz w:val="24"/>
          <w:szCs w:val="24"/>
          <w:shd w:val="clear" w:color="auto" w:fill="auto"/>
        </w:rPr>
        <w:t>切实维护高校政治安全和校园稳定</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color w:val="auto"/>
          <w:sz w:val="24"/>
          <w:szCs w:val="24"/>
          <w:shd w:val="clear" w:color="auto" w:fill="auto"/>
        </w:rPr>
      </w:pPr>
      <w:r>
        <w:rPr>
          <w:rStyle w:val="11"/>
          <w:rFonts w:hint="eastAsia" w:ascii="宋体" w:hAnsi="宋体" w:eastAsia="宋体" w:cs="宋体"/>
          <w:color w:val="auto"/>
          <w:sz w:val="24"/>
          <w:szCs w:val="24"/>
          <w:shd w:val="clear" w:color="auto" w:fill="auto"/>
        </w:rPr>
        <w:t>16.提升高校稳定风险研判防范能力。</w:t>
      </w:r>
      <w:r>
        <w:rPr>
          <w:rFonts w:hint="eastAsia" w:ascii="宋体" w:hAnsi="宋体" w:eastAsia="宋体" w:cs="宋体"/>
          <w:color w:val="auto"/>
          <w:sz w:val="24"/>
          <w:szCs w:val="24"/>
          <w:shd w:val="clear" w:color="auto" w:fill="auto"/>
        </w:rPr>
        <w:t>（略）</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color w:val="auto"/>
          <w:sz w:val="24"/>
          <w:szCs w:val="24"/>
          <w:shd w:val="clear" w:color="auto" w:fill="auto"/>
        </w:rPr>
      </w:pPr>
      <w:r>
        <w:rPr>
          <w:rStyle w:val="11"/>
          <w:rFonts w:hint="eastAsia" w:ascii="宋体" w:hAnsi="宋体" w:eastAsia="宋体" w:cs="宋体"/>
          <w:color w:val="auto"/>
          <w:sz w:val="24"/>
          <w:szCs w:val="24"/>
          <w:shd w:val="clear" w:color="auto" w:fill="auto"/>
        </w:rPr>
        <w:t>17.维护和塑造高校政治安全。</w:t>
      </w:r>
      <w:r>
        <w:rPr>
          <w:rFonts w:hint="eastAsia" w:ascii="宋体" w:hAnsi="宋体" w:eastAsia="宋体" w:cs="宋体"/>
          <w:color w:val="auto"/>
          <w:sz w:val="24"/>
          <w:szCs w:val="24"/>
          <w:shd w:val="clear" w:color="auto" w:fill="auto"/>
        </w:rPr>
        <w:t>（略）</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color w:val="auto"/>
          <w:sz w:val="24"/>
          <w:szCs w:val="24"/>
          <w:shd w:val="clear" w:color="auto" w:fill="auto"/>
        </w:rPr>
      </w:pPr>
      <w:r>
        <w:rPr>
          <w:rStyle w:val="11"/>
          <w:rFonts w:hint="eastAsia" w:ascii="宋体" w:hAnsi="宋体" w:eastAsia="宋体" w:cs="宋体"/>
          <w:color w:val="auto"/>
          <w:sz w:val="24"/>
          <w:szCs w:val="24"/>
          <w:shd w:val="clear" w:color="auto" w:fill="auto"/>
        </w:rPr>
        <w:t>18.持续深化平安校园建设。</w:t>
      </w:r>
      <w:r>
        <w:rPr>
          <w:rFonts w:hint="eastAsia" w:ascii="宋体" w:hAnsi="宋体" w:eastAsia="宋体" w:cs="宋体"/>
          <w:color w:val="auto"/>
          <w:sz w:val="24"/>
          <w:szCs w:val="24"/>
          <w:shd w:val="clear" w:color="auto" w:fill="auto"/>
        </w:rPr>
        <w:t>巩固深化校园安全专项整顿工作成果，健全完善校园及周边治安综合治理长效机制。深入开展国家安全教育线上课堂、知识竞答、教学能力展示等活动。</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jc w:val="both"/>
        <w:textAlignment w:val="auto"/>
        <w:rPr>
          <w:rStyle w:val="11"/>
          <w:rFonts w:hint="eastAsia" w:ascii="宋体" w:hAnsi="宋体" w:eastAsia="宋体" w:cs="宋体"/>
          <w:color w:val="auto"/>
          <w:sz w:val="24"/>
          <w:szCs w:val="24"/>
          <w:shd w:val="clear" w:color="auto" w:fill="auto"/>
        </w:rPr>
      </w:pPr>
      <w:r>
        <w:rPr>
          <w:rStyle w:val="11"/>
          <w:rFonts w:hint="eastAsia" w:ascii="宋体" w:hAnsi="宋体" w:eastAsia="宋体" w:cs="宋体"/>
          <w:color w:val="auto"/>
          <w:sz w:val="24"/>
          <w:szCs w:val="24"/>
          <w:shd w:val="clear" w:color="auto" w:fill="auto"/>
          <w:lang w:eastAsia="zh-CN"/>
        </w:rPr>
        <w:t>六、</w:t>
      </w:r>
      <w:r>
        <w:rPr>
          <w:rStyle w:val="11"/>
          <w:rFonts w:hint="eastAsia" w:ascii="宋体" w:hAnsi="宋体" w:eastAsia="宋体" w:cs="宋体"/>
          <w:color w:val="auto"/>
          <w:sz w:val="24"/>
          <w:szCs w:val="24"/>
          <w:shd w:val="clear" w:color="auto" w:fill="auto"/>
        </w:rPr>
        <w:t>系统强化高校党建和思想政治工作战略支撑</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color w:val="auto"/>
          <w:sz w:val="24"/>
          <w:szCs w:val="24"/>
          <w:shd w:val="clear" w:color="auto" w:fill="auto"/>
        </w:rPr>
      </w:pPr>
      <w:r>
        <w:rPr>
          <w:rStyle w:val="11"/>
          <w:rFonts w:hint="eastAsia" w:ascii="宋体" w:hAnsi="宋体" w:eastAsia="宋体" w:cs="宋体"/>
          <w:color w:val="auto"/>
          <w:sz w:val="24"/>
          <w:szCs w:val="24"/>
          <w:shd w:val="clear" w:color="auto" w:fill="auto"/>
        </w:rPr>
        <w:t>19.打造大数据赋能创新矩阵。</w:t>
      </w:r>
      <w:r>
        <w:rPr>
          <w:rFonts w:hint="eastAsia" w:ascii="宋体" w:hAnsi="宋体" w:eastAsia="宋体" w:cs="宋体"/>
          <w:color w:val="auto"/>
          <w:sz w:val="24"/>
          <w:szCs w:val="24"/>
          <w:shd w:val="clear" w:color="auto" w:fill="auto"/>
        </w:rPr>
        <w:t>建设高校党建工作基础数据平台，加强整体性、趋势性、动态性统计分析。探索建立全国高校心理健康大数据动态分析与会商指导平台。建设高校辅导员队伍日常管理和能力提升大数据赋能中心，加强日常工作和优秀案例挖掘转化。</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color w:val="auto"/>
          <w:sz w:val="24"/>
          <w:szCs w:val="24"/>
          <w:shd w:val="clear" w:color="auto" w:fill="auto"/>
        </w:rPr>
      </w:pPr>
      <w:r>
        <w:rPr>
          <w:rStyle w:val="11"/>
          <w:rFonts w:hint="eastAsia" w:ascii="宋体" w:hAnsi="宋体" w:eastAsia="宋体" w:cs="宋体"/>
          <w:color w:val="auto"/>
          <w:sz w:val="24"/>
          <w:szCs w:val="24"/>
          <w:shd w:val="clear" w:color="auto" w:fill="auto"/>
          <w:lang w:val="en-US" w:eastAsia="zh-CN"/>
        </w:rPr>
        <w:t>20.</w:t>
      </w:r>
      <w:r>
        <w:rPr>
          <w:rStyle w:val="11"/>
          <w:rFonts w:hint="eastAsia" w:ascii="宋体" w:hAnsi="宋体" w:eastAsia="宋体" w:cs="宋体"/>
          <w:color w:val="auto"/>
          <w:sz w:val="24"/>
          <w:szCs w:val="24"/>
          <w:shd w:val="clear" w:color="auto" w:fill="auto"/>
        </w:rPr>
        <w:t>促进骨干队伍建设提质增效。</w:t>
      </w:r>
      <w:r>
        <w:rPr>
          <w:rFonts w:hint="eastAsia" w:ascii="宋体" w:hAnsi="宋体" w:eastAsia="宋体" w:cs="宋体"/>
          <w:color w:val="auto"/>
          <w:sz w:val="24"/>
          <w:szCs w:val="24"/>
          <w:shd w:val="clear" w:color="auto" w:fill="auto"/>
        </w:rPr>
        <w:t>统筹做好高校组织、宣传、统战、学工、保卫等部门负责人和院系党组织书记、青年教师新党员、组织员、民办高校党组织书记等队伍的专题培训和日常指导。专项督促未按标准设置专职辅导员岗位或用劳务派遣、人事代理等方式聘用辅导员的高校做好整改。开展“最美高校辅导员”推选展示活动。举办全国高校思想政治工作骨干示范培训班。实施“全国高校辅导员能力提升导航计划”，强化基础性建设、提升性扶持和示范性激励。继续实施高校思想政治工作中青年骨干队伍建设项目、高校网络教育名师培育支持计划、辅导员专业学位攻读计划。办好第九届全国高校辅导员素质能力大赛。</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color w:val="auto"/>
          <w:sz w:val="24"/>
          <w:szCs w:val="24"/>
          <w:shd w:val="clear" w:color="auto" w:fill="auto"/>
        </w:rPr>
      </w:pPr>
      <w:r>
        <w:rPr>
          <w:rStyle w:val="11"/>
          <w:rFonts w:hint="eastAsia" w:ascii="宋体" w:hAnsi="宋体" w:eastAsia="宋体" w:cs="宋体"/>
          <w:color w:val="auto"/>
          <w:sz w:val="24"/>
          <w:szCs w:val="24"/>
          <w:shd w:val="clear" w:color="auto" w:fill="auto"/>
        </w:rPr>
        <w:t>21.强化工作研究力量建设。</w:t>
      </w:r>
      <w:r>
        <w:rPr>
          <w:rFonts w:hint="eastAsia" w:ascii="宋体" w:hAnsi="宋体" w:eastAsia="宋体" w:cs="宋体"/>
          <w:color w:val="auto"/>
          <w:sz w:val="24"/>
          <w:szCs w:val="24"/>
          <w:shd w:val="clear" w:color="auto" w:fill="auto"/>
        </w:rPr>
        <w:t>做好高校思想政治工作创新发展中心、队伍培训研修中心建设总结评估和下一周期谋划部署等工作。指导民办高校和高职院校思想政治工作创新发展中心强化研究阐释、经验共享、研修培训。加强对中国高等教育学会思想政治教育分会、宣传工作研究分会、统战工作研究分会、辅导员工作研究分会、保卫学专业委员会和全国党建研究会高校党建研究专业委员会的指导。</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jc w:val="both"/>
        <w:textAlignment w:val="auto"/>
        <w:rPr>
          <w:rStyle w:val="11"/>
          <w:rFonts w:hint="eastAsia" w:ascii="宋体" w:hAnsi="宋体" w:eastAsia="宋体" w:cs="宋体"/>
          <w:color w:val="auto"/>
          <w:sz w:val="24"/>
          <w:szCs w:val="24"/>
          <w:shd w:val="clear" w:color="auto" w:fill="auto"/>
        </w:rPr>
      </w:pPr>
      <w:r>
        <w:rPr>
          <w:rStyle w:val="11"/>
          <w:rFonts w:hint="eastAsia" w:ascii="宋体" w:hAnsi="宋体" w:eastAsia="宋体" w:cs="宋体"/>
          <w:color w:val="auto"/>
          <w:sz w:val="24"/>
          <w:szCs w:val="24"/>
          <w:shd w:val="clear" w:color="auto" w:fill="auto"/>
        </w:rPr>
        <w:t>七、深化创建“让党中央放心、让人民群众满意”的模范机关</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firstLine="482" w:firstLineChars="200"/>
        <w:jc w:val="both"/>
        <w:textAlignment w:val="auto"/>
        <w:rPr>
          <w:rFonts w:hint="eastAsia" w:ascii="宋体" w:hAnsi="宋体" w:eastAsia="宋体" w:cs="宋体"/>
          <w:color w:val="auto"/>
          <w:sz w:val="24"/>
          <w:szCs w:val="24"/>
          <w:shd w:val="clear" w:color="auto" w:fill="auto"/>
        </w:rPr>
      </w:pPr>
      <w:r>
        <w:rPr>
          <w:rStyle w:val="11"/>
          <w:rFonts w:hint="eastAsia" w:ascii="宋体" w:hAnsi="宋体" w:eastAsia="宋体" w:cs="宋体"/>
          <w:color w:val="auto"/>
          <w:sz w:val="24"/>
          <w:szCs w:val="24"/>
          <w:shd w:val="clear" w:color="auto" w:fill="auto"/>
        </w:rPr>
        <w:t>22.强化政治司局建设。</w:t>
      </w:r>
      <w:r>
        <w:rPr>
          <w:rFonts w:hint="eastAsia" w:ascii="宋体" w:hAnsi="宋体" w:eastAsia="宋体" w:cs="宋体"/>
          <w:color w:val="auto"/>
          <w:sz w:val="24"/>
          <w:szCs w:val="24"/>
          <w:shd w:val="clear" w:color="auto" w:fill="auto"/>
        </w:rPr>
        <w:t>有效提升政治能力、谋划能力、执行能力、沟通能力、风险防控能力，精细化落实中央领导同志指示批示精神、中央重大决策部署和部党组工作要求。坚持定期理论学习制度，抓好司领导班子集体学习，办好青年干部读书班，建立司党支部党史学习教育常态化长效化制度机制。严格执行“三会一课”等制度，推动党员领导干部履行好“一岗双责”。持之以恒落实中央八项规定及其实施细则精神，一严到底纠治“四风”。规范办文办事办会流程，精简会议、文件，切实减轻基层负担。落实统筹推进乡村教育振兴和教育振兴乡村工作要求，完成好对口联系国家乡村振兴重点帮扶县具体任务。</w:t>
      </w:r>
    </w:p>
    <w:p>
      <w:pPr>
        <w:spacing w:line="440" w:lineRule="exact"/>
        <w:jc w:val="left"/>
        <w:outlineLvl w:val="0"/>
        <w:rPr>
          <w:rFonts w:hint="eastAsia" w:ascii="黑体" w:hAnsi="黑体" w:eastAsia="黑体" w:cs="黑体"/>
          <w:b/>
          <w:bCs/>
          <w:sz w:val="32"/>
          <w:szCs w:val="32"/>
        </w:rPr>
      </w:pPr>
    </w:p>
    <w:p>
      <w:pPr>
        <w:rPr>
          <w:rFonts w:hint="eastAsia" w:ascii="黑体" w:hAnsi="黑体" w:eastAsia="黑体" w:cs="黑体"/>
          <w:b/>
          <w:bCs/>
          <w:sz w:val="32"/>
          <w:szCs w:val="32"/>
        </w:rPr>
      </w:pPr>
      <w:bookmarkStart w:id="4" w:name="_Toc24373"/>
      <w:r>
        <w:rPr>
          <w:rFonts w:hint="eastAsia" w:ascii="黑体" w:hAnsi="黑体" w:eastAsia="黑体" w:cs="黑体"/>
          <w:b/>
          <w:bCs/>
          <w:sz w:val="32"/>
          <w:szCs w:val="32"/>
        </w:rPr>
        <w:br w:type="page"/>
      </w:r>
    </w:p>
    <w:p>
      <w:pPr>
        <w:spacing w:line="440" w:lineRule="exact"/>
        <w:jc w:val="left"/>
        <w:outlineLvl w:val="0"/>
        <w:rPr>
          <w:rFonts w:hint="eastAsia" w:ascii="黑体" w:hAnsi="黑体" w:eastAsia="黑体" w:cs="黑体"/>
          <w:b/>
          <w:bCs/>
          <w:sz w:val="32"/>
          <w:szCs w:val="32"/>
        </w:rPr>
      </w:pPr>
      <w:r>
        <w:rPr>
          <w:rFonts w:hint="eastAsia" w:ascii="黑体" w:hAnsi="黑体" w:eastAsia="黑体" w:cs="黑体"/>
          <w:b/>
          <w:bCs/>
          <w:sz w:val="32"/>
          <w:szCs w:val="32"/>
        </w:rPr>
        <w:t>【</w:t>
      </w:r>
      <w:r>
        <w:rPr>
          <w:rFonts w:hint="eastAsia" w:ascii="黑体" w:hAnsi="黑体" w:eastAsia="黑体" w:cs="黑体"/>
          <w:b/>
          <w:bCs/>
          <w:sz w:val="32"/>
          <w:szCs w:val="32"/>
          <w:lang w:eastAsia="zh-CN"/>
        </w:rPr>
        <w:t>百家论坛</w:t>
      </w:r>
      <w:r>
        <w:rPr>
          <w:rFonts w:hint="eastAsia" w:ascii="黑体" w:hAnsi="黑体" w:eastAsia="黑体" w:cs="黑体"/>
          <w:b/>
          <w:bCs/>
          <w:sz w:val="32"/>
          <w:szCs w:val="32"/>
        </w:rPr>
        <w:t>】</w:t>
      </w:r>
      <w:bookmarkEnd w:id="4"/>
    </w:p>
    <w:p>
      <w:pPr>
        <w:pStyle w:val="2"/>
        <w:ind w:left="0" w:leftChars="0" w:firstLine="0" w:firstLineChars="0"/>
        <w:rPr>
          <w:rFonts w:hint="eastAsia" w:ascii="宋体" w:hAnsi="宋体" w:eastAsia="宋体" w:cs="宋体"/>
          <w:color w:val="auto"/>
          <w:kern w:val="2"/>
          <w:sz w:val="24"/>
          <w:szCs w:val="24"/>
          <w:shd w:val="clear" w:color="auto" w:fill="auto"/>
          <w:lang w:val="en-US" w:eastAsia="zh-CN" w:bidi="ar-SA"/>
        </w:rPr>
      </w:pPr>
    </w:p>
    <w:p>
      <w:pPr>
        <w:pStyle w:val="4"/>
        <w:keepNext/>
        <w:keepLines/>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黑体" w:hAnsi="黑体" w:eastAsia="黑体" w:cs="黑体"/>
          <w:sz w:val="32"/>
          <w:szCs w:val="32"/>
          <w:lang w:val="en-US" w:eastAsia="zh-CN"/>
        </w:rPr>
      </w:pPr>
      <w:bookmarkStart w:id="5" w:name="_Toc18641"/>
      <w:bookmarkStart w:id="6" w:name="_Toc16366"/>
      <w:r>
        <w:rPr>
          <w:rFonts w:hint="eastAsia" w:ascii="黑体" w:hAnsi="黑体" w:eastAsia="黑体" w:cs="黑体"/>
          <w:sz w:val="32"/>
          <w:szCs w:val="32"/>
          <w:lang w:val="en-US" w:eastAsia="zh-CN"/>
        </w:rPr>
        <w:t>开启教育元宇宙新世界</w:t>
      </w:r>
      <w:bookmarkEnd w:id="5"/>
      <w:bookmarkEnd w:id="6"/>
    </w:p>
    <w:p>
      <w:pPr>
        <w:pStyle w:val="4"/>
        <w:bidi w:val="0"/>
        <w:rPr>
          <w:rFonts w:hint="eastAsia" w:cs="Times New Roman"/>
          <w:sz w:val="32"/>
          <w:szCs w:val="32"/>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楷体" w:hAnsi="楷体" w:eastAsia="楷体" w:cs="楷体"/>
          <w:bCs/>
          <w:sz w:val="24"/>
          <w:szCs w:val="24"/>
        </w:rPr>
      </w:pPr>
      <w:r>
        <w:rPr>
          <w:rFonts w:hint="eastAsia" w:ascii="楷体" w:hAnsi="楷体" w:eastAsia="楷体" w:cs="楷体"/>
          <w:b/>
          <w:bCs/>
          <w:sz w:val="24"/>
          <w:szCs w:val="24"/>
        </w:rPr>
        <w:t>推荐人：</w:t>
      </w:r>
      <w:r>
        <w:rPr>
          <w:rFonts w:hint="eastAsia" w:ascii="楷体" w:hAnsi="楷体" w:eastAsia="楷体" w:cs="楷体"/>
          <w:bCs/>
          <w:sz w:val="24"/>
          <w:szCs w:val="24"/>
        </w:rPr>
        <w:t>李威</w:t>
      </w:r>
    </w:p>
    <w:p>
      <w:pPr>
        <w:pStyle w:val="2"/>
        <w:keepNext w:val="0"/>
        <w:keepLines w:val="0"/>
        <w:pageBreakBefore w:val="0"/>
        <w:kinsoku/>
        <w:wordWrap/>
        <w:overflowPunct/>
        <w:topLinePunct w:val="0"/>
        <w:autoSpaceDE/>
        <w:autoSpaceDN/>
        <w:bidi w:val="0"/>
        <w:adjustRightInd/>
        <w:snapToGrid/>
        <w:spacing w:after="0" w:line="440" w:lineRule="exact"/>
        <w:ind w:left="0" w:leftChars="0" w:firstLine="0" w:firstLineChars="0"/>
        <w:textAlignment w:val="auto"/>
        <w:rPr>
          <w:rFonts w:hint="eastAsia" w:ascii="楷体" w:hAnsi="楷体" w:eastAsia="楷体" w:cs="楷体"/>
          <w:bCs/>
          <w:sz w:val="24"/>
          <w:szCs w:val="24"/>
          <w:lang w:eastAsia="zh-CN"/>
        </w:rPr>
      </w:pPr>
      <w:r>
        <w:rPr>
          <w:rFonts w:hint="eastAsia" w:ascii="楷体" w:hAnsi="楷体" w:eastAsia="楷体" w:cs="楷体"/>
          <w:b/>
          <w:bCs w:val="0"/>
          <w:sz w:val="24"/>
          <w:szCs w:val="24"/>
          <w:lang w:eastAsia="zh-CN"/>
        </w:rPr>
        <w:t>推荐单位：</w:t>
      </w:r>
      <w:r>
        <w:rPr>
          <w:rFonts w:hint="eastAsia" w:ascii="楷体" w:hAnsi="楷体" w:eastAsia="楷体" w:cs="楷体"/>
          <w:bCs/>
          <w:sz w:val="24"/>
          <w:szCs w:val="24"/>
          <w:lang w:eastAsia="zh-CN"/>
        </w:rPr>
        <w:t>教务处</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楷体" w:hAnsi="楷体" w:eastAsia="楷体" w:cs="楷体"/>
          <w:b w:val="0"/>
          <w:bCs w:val="0"/>
          <w:sz w:val="24"/>
          <w:szCs w:val="24"/>
        </w:rPr>
      </w:pPr>
      <w:r>
        <w:rPr>
          <w:rFonts w:hint="eastAsia" w:ascii="楷体" w:hAnsi="楷体" w:eastAsia="楷体" w:cs="楷体"/>
          <w:b/>
          <w:bCs/>
          <w:sz w:val="24"/>
          <w:szCs w:val="24"/>
        </w:rPr>
        <w:t>推荐</w:t>
      </w:r>
      <w:r>
        <w:rPr>
          <w:rFonts w:hint="eastAsia" w:ascii="楷体" w:hAnsi="楷体" w:eastAsia="楷体" w:cs="楷体"/>
          <w:b/>
          <w:bCs/>
          <w:sz w:val="24"/>
          <w:szCs w:val="24"/>
          <w:lang w:eastAsia="zh-CN"/>
        </w:rPr>
        <w:t>审核</w:t>
      </w:r>
      <w:r>
        <w:rPr>
          <w:rFonts w:hint="eastAsia" w:ascii="楷体" w:hAnsi="楷体" w:eastAsia="楷体" w:cs="楷体"/>
          <w:b/>
          <w:bCs/>
          <w:sz w:val="24"/>
          <w:szCs w:val="24"/>
        </w:rPr>
        <w:t>人：</w:t>
      </w:r>
      <w:r>
        <w:rPr>
          <w:rFonts w:hint="eastAsia" w:ascii="楷体" w:hAnsi="楷体" w:eastAsia="楷体" w:cs="楷体"/>
          <w:b w:val="0"/>
          <w:bCs w:val="0"/>
          <w:sz w:val="24"/>
          <w:szCs w:val="24"/>
        </w:rPr>
        <w:t>刘春侠</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lang w:eastAsia="zh-CN"/>
        </w:rPr>
      </w:pPr>
      <w:r>
        <w:rPr>
          <w:rFonts w:hint="eastAsia" w:ascii="楷体" w:hAnsi="楷体" w:eastAsia="楷体" w:cs="楷体"/>
          <w:b/>
          <w:bCs/>
          <w:sz w:val="24"/>
          <w:szCs w:val="24"/>
        </w:rPr>
        <w:t>推荐理由或点评：</w:t>
      </w:r>
      <w:r>
        <w:rPr>
          <w:rFonts w:hint="eastAsia" w:ascii="楷体" w:hAnsi="楷体" w:eastAsia="楷体" w:cs="楷体"/>
          <w:color w:val="222222"/>
          <w:kern w:val="0"/>
          <w:sz w:val="24"/>
          <w:szCs w:val="24"/>
        </w:rPr>
        <w:t>“教育元宇宙”的问题十分复杂，它既是技术问题，也是实践问题，更是理论问题。理解和构建“教育元宇宙”有四个关键词：需要，“元宇宙”的出现满足了人类的跨界需要；育人，“教育元宇宙”是一个育人空间，具有育人价值；体验，“教育元宇宙”通过丰富人的各种体验，实现了体验增值，进而实现了生命价值的增值；能力，“教育元宇宙”有助于培养人的想象力、游戏力、交互力和跨界力。我们应以教育为魂、以技术为体，开启“教育元宇宙”的新世界。</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楷体" w:hAnsi="楷体" w:eastAsia="楷体" w:cs="楷体"/>
          <w:b/>
          <w:bCs/>
          <w:sz w:val="24"/>
          <w:szCs w:val="24"/>
        </w:rPr>
      </w:pPr>
      <w:r>
        <w:rPr>
          <w:rFonts w:hint="eastAsia" w:ascii="楷体" w:hAnsi="楷体" w:eastAsia="楷体" w:cs="楷体"/>
          <w:b/>
          <w:bCs/>
          <w:sz w:val="24"/>
          <w:szCs w:val="24"/>
        </w:rPr>
        <w:t>来源：</w:t>
      </w:r>
      <w:r>
        <w:rPr>
          <w:rFonts w:hint="eastAsia" w:ascii="楷体" w:hAnsi="楷体" w:eastAsia="楷体" w:cs="楷体"/>
          <w:color w:val="222222"/>
          <w:kern w:val="0"/>
          <w:sz w:val="24"/>
          <w:szCs w:val="24"/>
        </w:rPr>
        <w:t>中国社会科学网</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楷体" w:hAnsi="楷体" w:eastAsia="楷体" w:cs="楷体"/>
          <w:b/>
          <w:bCs/>
          <w:sz w:val="24"/>
          <w:szCs w:val="24"/>
        </w:rPr>
      </w:pPr>
      <w:r>
        <w:rPr>
          <w:rFonts w:hint="eastAsia" w:ascii="楷体" w:hAnsi="楷体" w:eastAsia="楷体" w:cs="楷体"/>
          <w:b/>
          <w:bCs/>
          <w:sz w:val="24"/>
          <w:szCs w:val="24"/>
        </w:rPr>
        <w:t xml:space="preserve">网址： </w:t>
      </w:r>
      <w:r>
        <w:rPr>
          <w:rFonts w:hint="eastAsia" w:ascii="楷体" w:hAnsi="楷体" w:eastAsia="楷体" w:cs="楷体"/>
          <w:bCs/>
          <w:sz w:val="24"/>
          <w:szCs w:val="24"/>
        </w:rPr>
        <w:t>http://news.cssn.cn/zx/bwyc/202203/t20220304_5396732.shtml</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楷体" w:hAnsi="楷体" w:eastAsia="楷体" w:cs="楷体"/>
          <w:bCs/>
          <w:sz w:val="24"/>
          <w:szCs w:val="24"/>
        </w:rPr>
      </w:pPr>
      <w:r>
        <w:rPr>
          <w:rFonts w:hint="eastAsia" w:ascii="楷体" w:hAnsi="楷体" w:eastAsia="楷体" w:cs="楷体"/>
          <w:b/>
          <w:bCs/>
          <w:sz w:val="24"/>
          <w:szCs w:val="24"/>
        </w:rPr>
        <w:t>本文发表时间：</w:t>
      </w:r>
      <w:r>
        <w:rPr>
          <w:rFonts w:hint="eastAsia" w:ascii="楷体" w:hAnsi="楷体" w:eastAsia="楷体" w:cs="楷体"/>
          <w:sz w:val="24"/>
          <w:szCs w:val="24"/>
        </w:rPr>
        <w:t>2022年3月4日</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楷体" w:hAnsi="楷体" w:eastAsia="楷体" w:cs="楷体"/>
          <w:bCs/>
          <w:sz w:val="24"/>
          <w:szCs w:val="24"/>
        </w:rPr>
      </w:pPr>
      <w:r>
        <w:rPr>
          <w:rFonts w:hint="eastAsia" w:ascii="楷体" w:hAnsi="楷体" w:eastAsia="楷体" w:cs="楷体"/>
          <w:b/>
          <w:bCs/>
          <w:sz w:val="24"/>
          <w:szCs w:val="24"/>
        </w:rPr>
        <w:t>本文推荐时间：</w:t>
      </w:r>
      <w:r>
        <w:rPr>
          <w:rFonts w:hint="eastAsia" w:ascii="楷体" w:hAnsi="楷体" w:eastAsia="楷体" w:cs="楷体"/>
          <w:sz w:val="24"/>
          <w:szCs w:val="24"/>
        </w:rPr>
        <w:t>2022年3</w:t>
      </w:r>
      <w:r>
        <w:rPr>
          <w:rFonts w:hint="eastAsia" w:ascii="楷体" w:hAnsi="楷体" w:eastAsia="楷体" w:cs="楷体"/>
          <w:bCs/>
          <w:sz w:val="24"/>
          <w:szCs w:val="24"/>
        </w:rPr>
        <w:t>月4日</w:t>
      </w:r>
    </w:p>
    <w:p>
      <w:pPr>
        <w:pStyle w:val="2"/>
        <w:keepNext w:val="0"/>
        <w:keepLines w:val="0"/>
        <w:pageBreakBefore w:val="0"/>
        <w:widowControl w:val="0"/>
        <w:kinsoku/>
        <w:wordWrap/>
        <w:overflowPunct/>
        <w:topLinePunct w:val="0"/>
        <w:autoSpaceDE/>
        <w:autoSpaceDN/>
        <w:bidi w:val="0"/>
        <w:adjustRightInd w:val="0"/>
        <w:snapToGrid w:val="0"/>
        <w:spacing w:after="0" w:line="440" w:lineRule="exact"/>
        <w:ind w:left="0" w:leftChars="0"/>
        <w:textAlignment w:val="auto"/>
        <w:rPr>
          <w:rFonts w:hint="eastAsia"/>
        </w:rPr>
      </w:pP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2月26日，教育部人文社会科学重点研究基地华东师范大学基础教育改革与发展研究所、《开放教育研究》编辑部等机构联合举办的“元宇宙与未来教育”学术研讨会在线举行。与会学者探讨了“元宇宙”对教育的影响，并展望了未来教育的新形态。</w:t>
      </w:r>
    </w:p>
    <w:p>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color w:val="222222"/>
          <w:kern w:val="0"/>
          <w:sz w:val="24"/>
          <w:szCs w:val="24"/>
        </w:rPr>
      </w:pPr>
      <w:r>
        <w:rPr>
          <w:rFonts w:hint="eastAsia" w:ascii="宋体" w:hAnsi="宋体" w:eastAsia="宋体" w:cs="宋体"/>
          <w:b/>
          <w:bCs/>
          <w:color w:val="222222"/>
          <w:kern w:val="0"/>
          <w:sz w:val="24"/>
          <w:szCs w:val="24"/>
        </w:rPr>
        <w:t>提升多学科交叉融合能级</w:t>
      </w:r>
    </w:p>
    <w:p>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color w:val="222222"/>
          <w:kern w:val="0"/>
          <w:sz w:val="24"/>
          <w:szCs w:val="24"/>
        </w:rPr>
      </w:pPr>
      <w:r>
        <w:rPr>
          <w:rFonts w:hint="eastAsia" w:ascii="宋体" w:hAnsi="宋体" w:eastAsia="宋体" w:cs="宋体"/>
          <w:b/>
          <w:bCs/>
          <w:color w:val="222222"/>
          <w:kern w:val="0"/>
          <w:sz w:val="24"/>
          <w:szCs w:val="24"/>
        </w:rPr>
        <w:t>“元宇宙”被称为第三次互联网革命，尽管社会各界目前对“元宇宙”的定义尚未达成共识，但是它与人工智能、虚拟现实技术、“互联网+”等内容密切相关，也与教育关系紧密，是教育学科绕不开的研究主题。</w:t>
      </w:r>
      <w:r>
        <w:rPr>
          <w:rFonts w:hint="eastAsia" w:ascii="宋体" w:hAnsi="宋体" w:eastAsia="宋体" w:cs="宋体"/>
          <w:color w:val="222222"/>
          <w:kern w:val="0"/>
          <w:sz w:val="24"/>
          <w:szCs w:val="24"/>
        </w:rPr>
        <w:t>全国政协委员、华东师范大学副校长戴立益表示，“元宇宙”涉及人类社会各个领域，既要有多学科、跨学科研究的融合度，也要有单一学科研究的精深度。教育学科应本着理论与实践相结合的原则来研究“元宇宙”，以育人质量作为评价“元宇宙”对教育影响的重要指标。未来，我们应整合教育学科与其他学科的优势资源，发挥交叉学科积极作用。</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数字世界与物理世界的不断融合，会加速应用技术的更新换代。中国教育学会副会长、上海市教育学会会长尹后庆提出，当前，“元宇宙”和“未来教育”是我们必须共同关注的话题。在移动终端全民普及、互联网产业大规模发展的形势下，数字世界与物理世界加速融合。“元宇宙+教育”的方式，能够推动教育的深刻变革。当今的教育非常强调“情景化”，</w:t>
      </w:r>
      <w:r>
        <w:rPr>
          <w:rFonts w:hint="eastAsia" w:ascii="宋体" w:hAnsi="宋体" w:eastAsia="宋体" w:cs="宋体"/>
          <w:b/>
          <w:bCs/>
          <w:color w:val="222222"/>
          <w:kern w:val="0"/>
          <w:sz w:val="24"/>
          <w:szCs w:val="24"/>
        </w:rPr>
        <w:t>基于“元宇宙”构建的课程，或许更能够发挥“写实、可视、可参与”的情景式课程特征，更好激发学生的学习兴趣，提升课堂效率。</w:t>
      </w:r>
      <w:r>
        <w:rPr>
          <w:rFonts w:hint="eastAsia" w:ascii="宋体" w:hAnsi="宋体" w:eastAsia="宋体" w:cs="宋体"/>
          <w:color w:val="222222"/>
          <w:kern w:val="0"/>
          <w:sz w:val="24"/>
          <w:szCs w:val="24"/>
        </w:rPr>
        <w:t>我们要在加强理论研究的基础上，不断推动教育实践，从“互联网+教育”的时代，走向“元宇宙+教育”的新时代。</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前沿科研资源将助力构建“科学教育元宇宙”。中国科学技术大学科技传播与科技政策系教授周荣庭提出，构建“科学教育元宇宙”，应通过虚拟现实等科学技术营造具有未来感的学习体验，建立沉浸式场景。“科学教育元宇宙”的实现，需要虚拟现实、增强现实等区块链交互技术的支撑。</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教育元宇宙”的应用与实践成果，会反过来促进教育理论的发展。中国教育学会副会长、华东师范大学教育学部主任袁振国认为，在教育中，教师是主体、学生是客体的模式将被打破，教育将成为“元宇宙”最主要的应用场景之一。当前，“元宇宙”还是一个概念，是一种非常初级的表现形态。但是，随着互联网能级的不断提高、各种各样可视设备的便捷应用，“元宇宙”将获得长足发展的丰富资源。在教育场景当中，我们要通过汇聚各种各样的资源，来让其真正成为一种“线上线下”随时使用的、融合的教学形式。</w:t>
      </w:r>
    </w:p>
    <w:p>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color w:val="222222"/>
          <w:kern w:val="0"/>
          <w:sz w:val="24"/>
          <w:szCs w:val="24"/>
        </w:rPr>
      </w:pPr>
      <w:r>
        <w:rPr>
          <w:rFonts w:hint="eastAsia" w:ascii="宋体" w:hAnsi="宋体" w:eastAsia="宋体" w:cs="宋体"/>
          <w:b/>
          <w:bCs/>
          <w:color w:val="222222"/>
          <w:kern w:val="0"/>
          <w:sz w:val="24"/>
          <w:szCs w:val="24"/>
        </w:rPr>
        <w:t>推动教育事业更好发展</w:t>
      </w:r>
    </w:p>
    <w:p>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color w:val="222222"/>
          <w:kern w:val="0"/>
          <w:sz w:val="24"/>
          <w:szCs w:val="24"/>
        </w:rPr>
      </w:pPr>
      <w:r>
        <w:rPr>
          <w:rFonts w:hint="eastAsia" w:ascii="宋体" w:hAnsi="宋体" w:eastAsia="宋体" w:cs="宋体"/>
          <w:b/>
          <w:bCs/>
          <w:color w:val="222222"/>
          <w:kern w:val="0"/>
          <w:sz w:val="24"/>
          <w:szCs w:val="24"/>
        </w:rPr>
        <w:t>教育工作者应借助“元宇宙”之风，推动教育事业更好发展。</w:t>
      </w:r>
      <w:r>
        <w:rPr>
          <w:rFonts w:hint="eastAsia" w:ascii="宋体" w:hAnsi="宋体" w:eastAsia="宋体" w:cs="宋体"/>
          <w:color w:val="222222"/>
          <w:kern w:val="0"/>
          <w:sz w:val="24"/>
          <w:szCs w:val="24"/>
        </w:rPr>
        <w:t>江西师范大学未来教育研究院院长戴同德表示，教师是“教育元宇宙”的应用对象，教师智能研修等项目将更好助力教师适应并进入“元宇宙”，胜任“元宇宙”背景下的教学工作。我们要用确定性的力量，来应对“元宇宙”这种技术变革带来的不确定性，其中最重要的一点就是要探索提升教师的胜任力。要实现教师位置的变化，让传统教师与机器人教师共存，从而顺应“元宇宙”时代的发展。</w:t>
      </w:r>
    </w:p>
    <w:p>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color w:val="222222"/>
          <w:kern w:val="0"/>
          <w:sz w:val="24"/>
          <w:szCs w:val="24"/>
        </w:rPr>
      </w:pPr>
      <w:r>
        <w:rPr>
          <w:rFonts w:hint="eastAsia" w:ascii="宋体" w:hAnsi="宋体" w:eastAsia="宋体" w:cs="宋体"/>
          <w:b/>
          <w:bCs/>
          <w:color w:val="222222"/>
          <w:kern w:val="0"/>
          <w:sz w:val="24"/>
          <w:szCs w:val="24"/>
        </w:rPr>
        <w:t>“教育元宇宙”的根基是人文。</w:t>
      </w:r>
      <w:r>
        <w:rPr>
          <w:rFonts w:hint="eastAsia" w:ascii="宋体" w:hAnsi="宋体" w:eastAsia="宋体" w:cs="宋体"/>
          <w:color w:val="222222"/>
          <w:kern w:val="0"/>
          <w:sz w:val="24"/>
          <w:szCs w:val="24"/>
        </w:rPr>
        <w:t>华中师范大学人工智能教育学部副部长刘三女牙认为，信息空间的成长如何反哺教育发展，助力培养出更符合社会和人类发展所需要的人才，是亟待正视的问题。教育应赋予人相应的精神价值和生活方式，“教育元宇宙”也需要回答“为谁培养人、培养什么人、如何培养人”这三个基本问题，因而应从教育角度出发体现“教育元宇宙”的人文属性。要在技术和算法的规则中植入人文精神，从单纯的知识传授转变到综合素养的培养。</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针对“教育元宇宙”的价值导向，北京师范大学教育学部教授李芒提出，教育与科技的结合无法回避价值和价值观的问题，教育与“元宇宙”的结合同样如此。“元宇宙”技术绝不能奴役人类、异化文明。在认识“元宇宙”时，教师必须抱有严肃和冷静的态度，站稳“立德树人”的根本立场。</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华东师范大学基础教育改革与发展研究所所长李政涛认为，“教育元宇宙”的问题十分复杂，它既是技术问题，也是实践问题，更是理论问题。理解和构建“教育元宇宙”有四个关键词：需要，“元宇宙”的出现满足了人类的跨界需要；育人，“教育元宇宙”是一个育人空间，具有育人价值；体验，“教育元宇宙”通过丰富人的各种体验，实现了体验增值，进而实现了生命价值的增值；能力，“教育元宇宙”有助于培养人的想象力、游戏力、交互力和跨界力。我们应以教育为魂、以技术为体，开启“教育元宇宙”的新世界。</w:t>
      </w:r>
    </w:p>
    <w:p>
      <w:pPr>
        <w:pStyle w:val="2"/>
        <w:rPr>
          <w:rFonts w:hint="eastAsia" w:ascii="宋体" w:hAnsi="宋体" w:eastAsia="宋体" w:cs="宋体"/>
          <w:color w:val="222222"/>
          <w:kern w:val="0"/>
          <w:sz w:val="24"/>
          <w:szCs w:val="24"/>
          <w:lang w:val="en-US" w:eastAsia="zh-CN" w:bidi="ar-SA"/>
        </w:rPr>
      </w:pPr>
    </w:p>
    <w:p>
      <w:pPr>
        <w:pStyle w:val="4"/>
        <w:pageBreakBefore w:val="0"/>
        <w:widowControl w:val="0"/>
        <w:kinsoku/>
        <w:wordWrap/>
        <w:overflowPunct/>
        <w:topLinePunct w:val="0"/>
        <w:autoSpaceDE/>
        <w:autoSpaceDN/>
        <w:bidi w:val="0"/>
        <w:adjustRightInd/>
        <w:spacing w:line="440" w:lineRule="exact"/>
        <w:ind w:left="0" w:leftChars="0"/>
        <w:textAlignment w:val="auto"/>
        <w:rPr>
          <w:rFonts w:hint="eastAsia" w:ascii="黑体" w:hAnsi="黑体" w:eastAsia="黑体" w:cs="黑体"/>
          <w:b/>
          <w:sz w:val="32"/>
          <w:szCs w:val="32"/>
          <w:shd w:val="clear" w:color="auto" w:fill="auto"/>
        </w:rPr>
      </w:pPr>
      <w:bookmarkStart w:id="7" w:name="_Toc19626"/>
      <w:bookmarkStart w:id="8" w:name="_Toc8675"/>
      <w:r>
        <w:rPr>
          <w:rFonts w:hint="eastAsia"/>
          <w:sz w:val="32"/>
          <w:szCs w:val="32"/>
        </w:rPr>
        <w:t>推动“五融合”破解“两张皮”</w:t>
      </w:r>
      <w:bookmarkEnd w:id="7"/>
      <w:bookmarkEnd w:id="8"/>
    </w:p>
    <w:p>
      <w:pPr>
        <w:pStyle w:val="6"/>
        <w:rPr>
          <w:rFonts w:hint="eastAsia" w:ascii="楷体" w:hAnsi="楷体" w:eastAsia="楷体" w:cs="楷体"/>
          <w:i w:val="0"/>
          <w:iCs w:val="0"/>
          <w:caps w:val="0"/>
          <w:color w:val="4B4B4B"/>
          <w:spacing w:val="0"/>
          <w:sz w:val="24"/>
          <w:szCs w:val="24"/>
        </w:rPr>
      </w:pPr>
    </w:p>
    <w:p>
      <w:pPr>
        <w:shd w:val="clear" w:color="auto" w:fill="auto"/>
        <w:spacing w:line="440" w:lineRule="exact"/>
        <w:rPr>
          <w:rFonts w:hint="eastAsia" w:ascii="楷体" w:hAnsi="楷体" w:eastAsia="楷体" w:cs="楷体"/>
          <w:bCs/>
          <w:sz w:val="24"/>
          <w:szCs w:val="24"/>
          <w:shd w:val="clear" w:color="auto" w:fill="auto"/>
          <w:lang w:eastAsia="zh-CN"/>
        </w:rPr>
      </w:pPr>
      <w:r>
        <w:rPr>
          <w:rFonts w:hint="eastAsia" w:ascii="楷体" w:hAnsi="楷体" w:eastAsia="楷体" w:cs="楷体"/>
          <w:b/>
          <w:bCs/>
          <w:sz w:val="24"/>
          <w:szCs w:val="24"/>
          <w:shd w:val="clear" w:color="auto" w:fill="auto"/>
        </w:rPr>
        <w:t>推荐人：</w:t>
      </w:r>
      <w:r>
        <w:rPr>
          <w:rFonts w:hint="eastAsia" w:ascii="楷体" w:hAnsi="楷体" w:eastAsia="楷体" w:cs="楷体"/>
          <w:bCs/>
          <w:sz w:val="24"/>
          <w:szCs w:val="24"/>
          <w:shd w:val="clear" w:color="auto" w:fill="auto"/>
          <w:lang w:eastAsia="zh-CN"/>
        </w:rPr>
        <w:t>李昌龙</w:t>
      </w:r>
    </w:p>
    <w:p>
      <w:pPr>
        <w:spacing w:line="440" w:lineRule="exact"/>
        <w:rPr>
          <w:rFonts w:hint="eastAsia" w:ascii="楷体" w:hAnsi="楷体" w:eastAsia="楷体" w:cs="楷体"/>
          <w:bCs/>
          <w:color w:val="000000" w:themeColor="text1"/>
          <w:sz w:val="24"/>
          <w:szCs w:val="24"/>
          <w:lang w:eastAsia="zh-CN"/>
          <w14:textFill>
            <w14:solidFill>
              <w14:schemeClr w14:val="tx1"/>
            </w14:solidFill>
          </w14:textFill>
        </w:rPr>
      </w:pPr>
      <w:r>
        <w:rPr>
          <w:rFonts w:hint="eastAsia" w:ascii="楷体" w:hAnsi="楷体" w:eastAsia="楷体" w:cs="楷体"/>
          <w:b/>
          <w:bCs/>
          <w:color w:val="000000" w:themeColor="text1"/>
          <w:sz w:val="24"/>
          <w:szCs w:val="24"/>
          <w14:textFill>
            <w14:solidFill>
              <w14:schemeClr w14:val="tx1"/>
            </w14:solidFill>
          </w14:textFill>
        </w:rPr>
        <w:t>推荐单位：</w:t>
      </w:r>
      <w:r>
        <w:rPr>
          <w:rFonts w:hint="eastAsia" w:ascii="楷体" w:hAnsi="楷体" w:eastAsia="楷体" w:cs="楷体"/>
          <w:bCs/>
          <w:color w:val="000000" w:themeColor="text1"/>
          <w:sz w:val="24"/>
          <w:szCs w:val="24"/>
          <w:lang w:eastAsia="zh-CN"/>
          <w14:textFill>
            <w14:solidFill>
              <w14:schemeClr w14:val="tx1"/>
            </w14:solidFill>
          </w14:textFill>
        </w:rPr>
        <w:t>建筑工程学院</w:t>
      </w:r>
    </w:p>
    <w:p>
      <w:pPr>
        <w:shd w:val="clear" w:color="auto" w:fill="auto"/>
        <w:spacing w:line="440" w:lineRule="exact"/>
        <w:rPr>
          <w:rFonts w:hint="eastAsia" w:ascii="楷体" w:hAnsi="楷体" w:eastAsia="楷体" w:cs="楷体"/>
          <w:bCs/>
          <w:sz w:val="24"/>
          <w:szCs w:val="24"/>
          <w:shd w:val="clear" w:color="auto" w:fill="auto"/>
          <w:lang w:eastAsia="zh-CN"/>
        </w:rPr>
      </w:pPr>
      <w:r>
        <w:rPr>
          <w:rFonts w:hint="eastAsia" w:ascii="楷体" w:hAnsi="楷体" w:eastAsia="楷体" w:cs="楷体"/>
          <w:b/>
          <w:bCs/>
          <w:sz w:val="24"/>
          <w:szCs w:val="24"/>
          <w:shd w:val="clear" w:color="auto" w:fill="auto"/>
        </w:rPr>
        <w:t>推荐</w:t>
      </w:r>
      <w:r>
        <w:rPr>
          <w:rFonts w:hint="eastAsia" w:ascii="楷体" w:hAnsi="楷体" w:eastAsia="楷体" w:cs="楷体"/>
          <w:b/>
          <w:bCs/>
          <w:sz w:val="24"/>
          <w:szCs w:val="24"/>
          <w:shd w:val="clear" w:color="auto" w:fill="auto"/>
          <w:lang w:eastAsia="zh-CN"/>
        </w:rPr>
        <w:t>审核</w:t>
      </w:r>
      <w:r>
        <w:rPr>
          <w:rFonts w:hint="eastAsia" w:ascii="楷体" w:hAnsi="楷体" w:eastAsia="楷体" w:cs="楷体"/>
          <w:b/>
          <w:bCs/>
          <w:sz w:val="24"/>
          <w:szCs w:val="24"/>
          <w:shd w:val="clear" w:color="auto" w:fill="auto"/>
        </w:rPr>
        <w:t>人：</w:t>
      </w:r>
      <w:r>
        <w:rPr>
          <w:rFonts w:hint="eastAsia" w:ascii="楷体" w:hAnsi="楷体" w:eastAsia="楷体" w:cs="楷体"/>
          <w:bCs/>
          <w:sz w:val="24"/>
          <w:szCs w:val="24"/>
          <w:shd w:val="clear" w:color="auto" w:fill="auto"/>
          <w:lang w:eastAsia="zh-CN"/>
        </w:rPr>
        <w:t>李</w:t>
      </w:r>
      <w:r>
        <w:rPr>
          <w:rFonts w:hint="eastAsia" w:ascii="楷体" w:hAnsi="楷体" w:eastAsia="楷体" w:cs="楷体"/>
          <w:bCs/>
          <w:sz w:val="24"/>
          <w:szCs w:val="24"/>
          <w:shd w:val="clear" w:color="auto" w:fill="auto"/>
          <w:lang w:val="en-US" w:eastAsia="zh-CN"/>
        </w:rPr>
        <w:t>昌龙</w:t>
      </w:r>
    </w:p>
    <w:p>
      <w:pPr>
        <w:widowControl/>
        <w:shd w:val="clear" w:color="auto" w:fill="auto"/>
        <w:spacing w:line="440" w:lineRule="exact"/>
        <w:jc w:val="left"/>
        <w:rPr>
          <w:rFonts w:hint="eastAsia"/>
          <w:sz w:val="24"/>
          <w:szCs w:val="24"/>
          <w:lang w:eastAsia="zh-CN"/>
        </w:rPr>
      </w:pPr>
      <w:r>
        <w:rPr>
          <w:rFonts w:hint="eastAsia" w:ascii="楷体" w:hAnsi="楷体" w:eastAsia="楷体" w:cs="楷体"/>
          <w:b/>
          <w:bCs/>
          <w:sz w:val="24"/>
          <w:szCs w:val="24"/>
          <w:shd w:val="clear" w:color="auto" w:fill="auto"/>
        </w:rPr>
        <w:t>推荐理由或点评：</w:t>
      </w:r>
      <w:r>
        <w:rPr>
          <w:rFonts w:hint="eastAsia" w:ascii="楷体" w:hAnsi="楷体" w:eastAsia="楷体" w:cs="楷体"/>
          <w:sz w:val="24"/>
          <w:szCs w:val="24"/>
          <w:shd w:val="clear" w:color="auto" w:fill="auto"/>
          <w:lang w:eastAsia="zh-CN"/>
        </w:rPr>
        <w:t>在路径选择上，高校党委要积极推动“五个融合”，即文化融合、思想融合、目标融合、育人融合、考评融合，切实把高校中心工作的难点、焦点作为高校党建工作的重点，如此才能以高质量党的建设引领推动高校各项事业高质量发展。</w:t>
      </w:r>
    </w:p>
    <w:p>
      <w:pPr>
        <w:shd w:val="clear" w:color="auto" w:fill="auto"/>
        <w:spacing w:line="440" w:lineRule="exact"/>
        <w:rPr>
          <w:rFonts w:hint="eastAsia" w:ascii="楷体" w:hAnsi="楷体" w:eastAsia="楷体" w:cs="楷体"/>
          <w:b/>
          <w:bCs/>
          <w:sz w:val="24"/>
          <w:szCs w:val="24"/>
          <w:shd w:val="clear" w:color="auto" w:fill="auto"/>
          <w:lang w:eastAsia="zh-CN"/>
        </w:rPr>
      </w:pPr>
      <w:r>
        <w:rPr>
          <w:rFonts w:hint="eastAsia" w:ascii="楷体" w:hAnsi="楷体" w:eastAsia="楷体" w:cs="楷体"/>
          <w:b/>
          <w:bCs/>
          <w:sz w:val="24"/>
          <w:szCs w:val="24"/>
          <w:shd w:val="clear" w:color="auto" w:fill="auto"/>
        </w:rPr>
        <w:t>来源：</w:t>
      </w:r>
      <w:r>
        <w:rPr>
          <w:rFonts w:hint="eastAsia" w:ascii="楷体" w:hAnsi="楷体" w:eastAsia="楷体" w:cs="楷体"/>
          <w:bCs/>
          <w:sz w:val="24"/>
          <w:szCs w:val="24"/>
          <w:shd w:val="clear" w:color="auto" w:fill="auto"/>
          <w:lang w:eastAsia="zh-CN"/>
        </w:rPr>
        <w:t>中国教育报</w:t>
      </w:r>
    </w:p>
    <w:p>
      <w:pPr>
        <w:shd w:val="clear" w:color="auto" w:fill="auto"/>
        <w:spacing w:line="440" w:lineRule="exact"/>
        <w:rPr>
          <w:rFonts w:hint="eastAsia" w:ascii="楷体" w:hAnsi="楷体" w:eastAsia="楷体" w:cs="楷体"/>
          <w:b w:val="0"/>
          <w:bCs/>
          <w:color w:val="auto"/>
          <w:sz w:val="24"/>
          <w:szCs w:val="24"/>
          <w:u w:val="none"/>
          <w:shd w:val="clear" w:color="auto" w:fill="auto"/>
        </w:rPr>
      </w:pPr>
      <w:r>
        <w:rPr>
          <w:rFonts w:hint="eastAsia" w:ascii="楷体" w:hAnsi="楷体" w:eastAsia="楷体" w:cs="楷体"/>
          <w:b/>
          <w:bCs/>
          <w:sz w:val="24"/>
          <w:szCs w:val="24"/>
          <w:shd w:val="clear" w:color="auto" w:fill="auto"/>
        </w:rPr>
        <w:t>网址：</w:t>
      </w:r>
      <w:r>
        <w:rPr>
          <w:rFonts w:hint="eastAsia" w:ascii="楷体" w:hAnsi="楷体" w:eastAsia="楷体" w:cs="楷体"/>
          <w:b w:val="0"/>
          <w:bCs/>
          <w:color w:val="auto"/>
          <w:sz w:val="24"/>
          <w:szCs w:val="24"/>
          <w:u w:val="none"/>
          <w:shd w:val="clear" w:color="auto" w:fill="auto"/>
        </w:rPr>
        <w:fldChar w:fldCharType="begin"/>
      </w:r>
      <w:r>
        <w:rPr>
          <w:rFonts w:hint="eastAsia" w:ascii="楷体" w:hAnsi="楷体" w:eastAsia="楷体" w:cs="楷体"/>
          <w:b w:val="0"/>
          <w:bCs/>
          <w:color w:val="auto"/>
          <w:sz w:val="24"/>
          <w:szCs w:val="24"/>
          <w:u w:val="none"/>
          <w:shd w:val="clear" w:color="auto" w:fill="auto"/>
        </w:rPr>
        <w:instrText xml:space="preserve"> HYPERLINK "http://www.jyb.cn/rmtzgjyb/202203/t20220303_681763.html" </w:instrText>
      </w:r>
      <w:r>
        <w:rPr>
          <w:rFonts w:hint="eastAsia" w:ascii="楷体" w:hAnsi="楷体" w:eastAsia="楷体" w:cs="楷体"/>
          <w:b w:val="0"/>
          <w:bCs/>
          <w:color w:val="auto"/>
          <w:sz w:val="24"/>
          <w:szCs w:val="24"/>
          <w:u w:val="none"/>
          <w:shd w:val="clear" w:color="auto" w:fill="auto"/>
        </w:rPr>
        <w:fldChar w:fldCharType="separate"/>
      </w:r>
      <w:r>
        <w:rPr>
          <w:rStyle w:val="13"/>
          <w:rFonts w:hint="eastAsia" w:ascii="楷体" w:hAnsi="楷体" w:eastAsia="楷体" w:cs="楷体"/>
          <w:b w:val="0"/>
          <w:bCs/>
          <w:color w:val="auto"/>
          <w:sz w:val="24"/>
          <w:szCs w:val="24"/>
          <w:u w:val="none"/>
          <w:shd w:val="clear" w:color="auto" w:fill="auto"/>
        </w:rPr>
        <w:t>http://www.jyb.cn/rmtzgjyb/202203/t20220303_681763.html</w:t>
      </w:r>
      <w:r>
        <w:rPr>
          <w:rFonts w:hint="eastAsia" w:ascii="楷体" w:hAnsi="楷体" w:eastAsia="楷体" w:cs="楷体"/>
          <w:b w:val="0"/>
          <w:bCs/>
          <w:color w:val="auto"/>
          <w:sz w:val="24"/>
          <w:szCs w:val="24"/>
          <w:u w:val="none"/>
          <w:shd w:val="clear" w:color="auto" w:fill="auto"/>
        </w:rPr>
        <w:fldChar w:fldCharType="end"/>
      </w:r>
    </w:p>
    <w:p>
      <w:pPr>
        <w:shd w:val="clear" w:color="auto" w:fill="auto"/>
        <w:spacing w:line="440" w:lineRule="exact"/>
        <w:rPr>
          <w:rFonts w:hint="eastAsia" w:ascii="楷体" w:hAnsi="楷体" w:eastAsia="楷体" w:cs="楷体"/>
          <w:bCs/>
          <w:sz w:val="24"/>
          <w:szCs w:val="24"/>
          <w:shd w:val="clear" w:color="auto" w:fill="auto"/>
        </w:rPr>
      </w:pPr>
      <w:r>
        <w:rPr>
          <w:rFonts w:hint="eastAsia" w:ascii="楷体" w:hAnsi="楷体" w:eastAsia="楷体" w:cs="楷体"/>
          <w:b/>
          <w:bCs/>
          <w:sz w:val="24"/>
          <w:szCs w:val="24"/>
          <w:shd w:val="clear" w:color="auto" w:fill="auto"/>
        </w:rPr>
        <w:t>本文发表时间：</w:t>
      </w:r>
      <w:r>
        <w:rPr>
          <w:rFonts w:hint="eastAsia" w:ascii="楷体" w:hAnsi="楷体" w:eastAsia="楷体" w:cs="楷体"/>
          <w:sz w:val="24"/>
          <w:szCs w:val="24"/>
          <w:shd w:val="clear" w:color="auto" w:fill="auto"/>
          <w:lang w:val="en-US" w:eastAsia="zh-CN"/>
        </w:rPr>
        <w:t>2022</w:t>
      </w:r>
      <w:r>
        <w:rPr>
          <w:rFonts w:hint="eastAsia" w:ascii="楷体" w:hAnsi="楷体" w:eastAsia="楷体" w:cs="楷体"/>
          <w:bCs/>
          <w:sz w:val="24"/>
          <w:szCs w:val="24"/>
          <w:shd w:val="clear" w:color="auto" w:fill="auto"/>
        </w:rPr>
        <w:t>年</w:t>
      </w:r>
      <w:r>
        <w:rPr>
          <w:rFonts w:hint="eastAsia" w:ascii="楷体" w:hAnsi="楷体" w:eastAsia="楷体" w:cs="楷体"/>
          <w:sz w:val="24"/>
          <w:szCs w:val="24"/>
          <w:shd w:val="clear" w:color="auto" w:fill="auto"/>
          <w:lang w:val="en-US" w:eastAsia="zh-CN"/>
        </w:rPr>
        <w:t>3</w:t>
      </w:r>
      <w:r>
        <w:rPr>
          <w:rFonts w:hint="eastAsia" w:ascii="楷体" w:hAnsi="楷体" w:eastAsia="楷体" w:cs="楷体"/>
          <w:bCs/>
          <w:sz w:val="24"/>
          <w:szCs w:val="24"/>
          <w:shd w:val="clear" w:color="auto" w:fill="auto"/>
        </w:rPr>
        <w:t>月</w:t>
      </w:r>
      <w:r>
        <w:rPr>
          <w:rFonts w:hint="eastAsia" w:ascii="楷体" w:hAnsi="楷体" w:eastAsia="楷体" w:cs="楷体"/>
          <w:sz w:val="24"/>
          <w:szCs w:val="24"/>
          <w:shd w:val="clear" w:color="auto" w:fill="auto"/>
          <w:lang w:val="en-US" w:eastAsia="zh-CN"/>
        </w:rPr>
        <w:t>3</w:t>
      </w:r>
      <w:r>
        <w:rPr>
          <w:rFonts w:hint="eastAsia" w:ascii="楷体" w:hAnsi="楷体" w:eastAsia="楷体" w:cs="楷体"/>
          <w:bCs/>
          <w:sz w:val="24"/>
          <w:szCs w:val="24"/>
          <w:shd w:val="clear" w:color="auto" w:fill="auto"/>
        </w:rPr>
        <w:t>日</w:t>
      </w:r>
    </w:p>
    <w:p>
      <w:pPr>
        <w:shd w:val="clear" w:color="auto" w:fill="auto"/>
        <w:spacing w:line="440" w:lineRule="exact"/>
        <w:rPr>
          <w:rFonts w:hint="eastAsia" w:ascii="楷体" w:hAnsi="楷体" w:eastAsia="楷体" w:cs="楷体"/>
          <w:bCs/>
          <w:sz w:val="24"/>
          <w:szCs w:val="24"/>
          <w:shd w:val="clear" w:color="auto" w:fill="auto"/>
        </w:rPr>
      </w:pPr>
      <w:r>
        <w:rPr>
          <w:rFonts w:hint="eastAsia" w:ascii="楷体" w:hAnsi="楷体" w:eastAsia="楷体" w:cs="楷体"/>
          <w:b/>
          <w:bCs/>
          <w:sz w:val="24"/>
          <w:szCs w:val="24"/>
          <w:shd w:val="clear" w:color="auto" w:fill="auto"/>
        </w:rPr>
        <w:t>本文推荐时间：</w:t>
      </w:r>
      <w:r>
        <w:rPr>
          <w:rFonts w:hint="eastAsia" w:ascii="楷体" w:hAnsi="楷体" w:eastAsia="楷体" w:cs="楷体"/>
          <w:sz w:val="24"/>
          <w:szCs w:val="24"/>
          <w:shd w:val="clear" w:color="auto" w:fill="auto"/>
          <w:lang w:val="en-US" w:eastAsia="zh-CN"/>
        </w:rPr>
        <w:t>2022</w:t>
      </w:r>
      <w:r>
        <w:rPr>
          <w:rFonts w:hint="eastAsia" w:ascii="楷体" w:hAnsi="楷体" w:eastAsia="楷体" w:cs="楷体"/>
          <w:bCs/>
          <w:sz w:val="24"/>
          <w:szCs w:val="24"/>
          <w:shd w:val="clear" w:color="auto" w:fill="auto"/>
        </w:rPr>
        <w:t>年</w:t>
      </w:r>
      <w:r>
        <w:rPr>
          <w:rFonts w:hint="eastAsia" w:ascii="楷体" w:hAnsi="楷体" w:eastAsia="楷体" w:cs="楷体"/>
          <w:sz w:val="24"/>
          <w:szCs w:val="24"/>
          <w:shd w:val="clear" w:color="auto" w:fill="auto"/>
          <w:lang w:val="en-US" w:eastAsia="zh-CN"/>
        </w:rPr>
        <w:t>3</w:t>
      </w:r>
      <w:r>
        <w:rPr>
          <w:rFonts w:hint="eastAsia" w:ascii="楷体" w:hAnsi="楷体" w:eastAsia="楷体" w:cs="楷体"/>
          <w:bCs/>
          <w:sz w:val="24"/>
          <w:szCs w:val="24"/>
          <w:shd w:val="clear" w:color="auto" w:fill="auto"/>
        </w:rPr>
        <w:t>月</w:t>
      </w:r>
      <w:r>
        <w:rPr>
          <w:rFonts w:hint="eastAsia" w:ascii="楷体" w:hAnsi="楷体" w:eastAsia="楷体" w:cs="楷体"/>
          <w:sz w:val="24"/>
          <w:szCs w:val="24"/>
          <w:shd w:val="clear" w:color="auto" w:fill="auto"/>
          <w:lang w:val="en-US" w:eastAsia="zh-CN"/>
        </w:rPr>
        <w:t>7</w:t>
      </w:r>
      <w:r>
        <w:rPr>
          <w:rFonts w:hint="eastAsia" w:ascii="楷体" w:hAnsi="楷体" w:eastAsia="楷体" w:cs="楷体"/>
          <w:bCs/>
          <w:sz w:val="24"/>
          <w:szCs w:val="24"/>
          <w:shd w:val="clear" w:color="auto" w:fill="auto"/>
        </w:rPr>
        <w:t>日</w:t>
      </w:r>
    </w:p>
    <w:p>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480" w:firstLineChars="200"/>
        <w:jc w:val="both"/>
        <w:textAlignment w:val="auto"/>
        <w:rPr>
          <w:rFonts w:hint="eastAsia" w:ascii="楷体" w:hAnsi="楷体" w:eastAsia="楷体" w:cs="楷体"/>
          <w:b w:val="0"/>
          <w:bCs w:val="0"/>
          <w:sz w:val="24"/>
          <w:szCs w:val="24"/>
          <w:shd w:val="clear" w:color="auto" w:fill="auto"/>
        </w:rPr>
      </w:pPr>
    </w:p>
    <w:p>
      <w:pPr>
        <w:pStyle w:val="14"/>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kern w:val="0"/>
          <w:sz w:val="24"/>
          <w:shd w:val="clear" w:color="auto" w:fill="auto"/>
        </w:rPr>
      </w:pPr>
      <w:r>
        <w:rPr>
          <w:rFonts w:hint="eastAsia" w:ascii="宋体" w:hAnsi="宋体"/>
          <w:kern w:val="0"/>
          <w:sz w:val="24"/>
          <w:shd w:val="clear" w:color="auto" w:fill="auto"/>
        </w:rPr>
        <w:t>习近平总书记指出，办好我国高等教育，必须坚持党的领导，牢牢掌握党对高校工作的领导权，使高校成为坚持党的领导的坚强阵地。坚持和加强党对高等教育事业的领导，必须紧紧围绕高校人才培养、科学研究等中心工作加强高校党的建设，大力促进高校党的建设与中心工作深度融合，切实把高校中心工作的难点、焦点作为高校党建工作的重点，如此才能以高质量党的建设引领推动高校各项事业高质量发展。</w:t>
      </w:r>
    </w:p>
    <w:p>
      <w:pPr>
        <w:pStyle w:val="14"/>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2" w:firstLineChars="200"/>
        <w:textAlignment w:val="auto"/>
        <w:rPr>
          <w:rFonts w:hint="eastAsia" w:ascii="宋体" w:hAnsi="宋体"/>
          <w:b/>
          <w:bCs/>
          <w:kern w:val="0"/>
          <w:sz w:val="24"/>
          <w:shd w:val="clear" w:color="auto" w:fill="auto"/>
        </w:rPr>
      </w:pPr>
      <w:r>
        <w:rPr>
          <w:rFonts w:hint="eastAsia" w:ascii="宋体" w:hAnsi="宋体"/>
          <w:b/>
          <w:bCs/>
          <w:kern w:val="0"/>
          <w:sz w:val="24"/>
          <w:shd w:val="clear" w:color="auto" w:fill="auto"/>
        </w:rPr>
        <w:t>在路径选择上，高校党委要积极推动“五个融合”，即文化融合、思想融合、目标融合、育人融合、考评融合。</w:t>
      </w:r>
    </w:p>
    <w:p>
      <w:pPr>
        <w:pStyle w:val="14"/>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2" w:firstLineChars="200"/>
        <w:textAlignment w:val="auto"/>
        <w:rPr>
          <w:rFonts w:hint="eastAsia" w:ascii="宋体" w:hAnsi="宋体"/>
          <w:kern w:val="0"/>
          <w:sz w:val="24"/>
          <w:shd w:val="clear" w:color="auto" w:fill="auto"/>
        </w:rPr>
      </w:pPr>
      <w:r>
        <w:rPr>
          <w:rFonts w:hint="eastAsia" w:ascii="宋体" w:hAnsi="宋体"/>
          <w:b/>
          <w:bCs/>
          <w:kern w:val="0"/>
          <w:sz w:val="24"/>
          <w:shd w:val="clear" w:color="auto" w:fill="auto"/>
        </w:rPr>
        <w:t>文化融合，</w:t>
      </w:r>
      <w:r>
        <w:rPr>
          <w:rFonts w:hint="eastAsia" w:ascii="宋体" w:hAnsi="宋体"/>
          <w:kern w:val="0"/>
          <w:sz w:val="24"/>
          <w:shd w:val="clear" w:color="auto" w:fill="auto"/>
        </w:rPr>
        <w:t>共同凝练学校文化精神和办学理念。高校要结合学科特点和办学特色，进一步提炼归纳校训、校风、教风和学风，并将其内化于心、外化于行，形成催人奋进的文化软环境，铸就广大师生独特的精神风貌。学校党委、行政要共同参与凝练办学理念，积极发挥办学理念在统一思想、引领行动方面的重要作用，为学校事业发展奠定文化根基。</w:t>
      </w:r>
    </w:p>
    <w:p>
      <w:pPr>
        <w:pStyle w:val="14"/>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2" w:firstLineChars="200"/>
        <w:textAlignment w:val="auto"/>
        <w:rPr>
          <w:rFonts w:hint="eastAsia" w:ascii="宋体" w:hAnsi="宋体"/>
          <w:kern w:val="0"/>
          <w:sz w:val="24"/>
          <w:shd w:val="clear" w:color="auto" w:fill="auto"/>
        </w:rPr>
      </w:pPr>
      <w:r>
        <w:rPr>
          <w:rFonts w:hint="eastAsia" w:ascii="宋体" w:hAnsi="宋体" w:cs="Times New Roman"/>
          <w:b/>
          <w:bCs/>
          <w:kern w:val="0"/>
          <w:sz w:val="24"/>
          <w:shd w:val="clear" w:color="auto" w:fill="auto"/>
        </w:rPr>
        <w:t>思想融合，</w:t>
      </w:r>
      <w:r>
        <w:rPr>
          <w:rFonts w:hint="eastAsia" w:ascii="宋体" w:hAnsi="宋体"/>
          <w:kern w:val="0"/>
          <w:sz w:val="24"/>
          <w:shd w:val="clear" w:color="auto" w:fill="auto"/>
        </w:rPr>
        <w:t>共同提高政治站位和责任担当。高校党政领导要持续加强对党的创新理论和高校党建工作理论的学习，把深入学习贯彻习近平新时代中国特色社会主义思想作为重要政治任务，不断提高思想认识和政治站位。要坚持党委领导下的校长负责制，建立健全党政负责人定期沟通协商机制和谈心谈话制度，党政之间、班子成员之间要加强沟通与协商，统一认识，形成全校干事创业的良好氛围。</w:t>
      </w:r>
    </w:p>
    <w:p>
      <w:pPr>
        <w:pStyle w:val="14"/>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2" w:firstLineChars="200"/>
        <w:textAlignment w:val="auto"/>
        <w:rPr>
          <w:rFonts w:hint="eastAsia" w:ascii="宋体" w:hAnsi="宋体"/>
          <w:kern w:val="0"/>
          <w:sz w:val="24"/>
          <w:shd w:val="clear" w:color="auto" w:fill="auto"/>
        </w:rPr>
      </w:pPr>
      <w:r>
        <w:rPr>
          <w:rFonts w:hint="eastAsia" w:ascii="宋体" w:hAnsi="宋体" w:cs="Times New Roman"/>
          <w:b/>
          <w:bCs/>
          <w:kern w:val="0"/>
          <w:sz w:val="24"/>
          <w:shd w:val="clear" w:color="auto" w:fill="auto"/>
        </w:rPr>
        <w:t>目标融合，</w:t>
      </w:r>
      <w:r>
        <w:rPr>
          <w:rFonts w:hint="eastAsia" w:ascii="宋体" w:hAnsi="宋体"/>
          <w:kern w:val="0"/>
          <w:sz w:val="24"/>
          <w:shd w:val="clear" w:color="auto" w:fill="auto"/>
        </w:rPr>
        <w:t>共同谋划人才培养定位和发展目标。高校党委、行政要全面贯彻落实立德树人根本任务，结合学校办学指导思想和办学定位，共同研究提出人才培养定位，解决培养什么人、怎样培养人的问题。二级单位党政要紧扣学校事业发展规划，结合学校办学定位、特色定位、层次定位和功能定位，共同研究提出本单位发展目标，为单位建设发展确定坐标系。</w:t>
      </w:r>
    </w:p>
    <w:p>
      <w:pPr>
        <w:pStyle w:val="14"/>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2" w:firstLineChars="200"/>
        <w:textAlignment w:val="auto"/>
        <w:rPr>
          <w:rFonts w:hint="eastAsia" w:ascii="宋体" w:hAnsi="宋体"/>
          <w:kern w:val="0"/>
          <w:sz w:val="24"/>
          <w:shd w:val="clear" w:color="auto" w:fill="auto"/>
        </w:rPr>
      </w:pPr>
      <w:r>
        <w:rPr>
          <w:rFonts w:hint="eastAsia" w:ascii="宋体" w:hAnsi="宋体" w:cs="Times New Roman"/>
          <w:b/>
          <w:bCs/>
          <w:kern w:val="0"/>
          <w:sz w:val="24"/>
          <w:shd w:val="clear" w:color="auto" w:fill="auto"/>
        </w:rPr>
        <w:t>育人融合，</w:t>
      </w:r>
      <w:r>
        <w:rPr>
          <w:rFonts w:hint="eastAsia" w:ascii="宋体" w:hAnsi="宋体"/>
          <w:kern w:val="0"/>
          <w:sz w:val="24"/>
          <w:shd w:val="clear" w:color="auto" w:fill="auto"/>
        </w:rPr>
        <w:t>共同抓好育人体系建设和“三全育人”工作。要聚焦育人过程中的短板、弱项，切实把解决育人过程中的不平衡不充分问题作为目标，着力构建“十大育人体系”，打通育人“最后一公里”。要增强构建“三全育人”工作格局的思想自觉和行动自觉，全面统筹学校各部门、教育教学各环节、人才培养各方面的育人资源和育人力量，积极挖掘各类群体、各个岗位的育人要素，实现各项育人工作的协同协作、同向同行、互联互通。</w:t>
      </w:r>
    </w:p>
    <w:p>
      <w:pPr>
        <w:pStyle w:val="14"/>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2" w:firstLineChars="200"/>
        <w:textAlignment w:val="auto"/>
        <w:rPr>
          <w:rFonts w:hint="eastAsia" w:ascii="宋体" w:hAnsi="宋体"/>
          <w:kern w:val="0"/>
          <w:sz w:val="24"/>
          <w:shd w:val="clear" w:color="auto" w:fill="auto"/>
        </w:rPr>
      </w:pPr>
      <w:r>
        <w:rPr>
          <w:rFonts w:hint="eastAsia" w:ascii="宋体" w:hAnsi="宋体" w:cs="Times New Roman"/>
          <w:b/>
          <w:bCs/>
          <w:kern w:val="0"/>
          <w:sz w:val="24"/>
          <w:shd w:val="clear" w:color="auto" w:fill="auto"/>
        </w:rPr>
        <w:t>考评融合，</w:t>
      </w:r>
      <w:r>
        <w:rPr>
          <w:rFonts w:hint="eastAsia" w:ascii="宋体" w:hAnsi="宋体"/>
          <w:kern w:val="0"/>
          <w:sz w:val="24"/>
          <w:shd w:val="clear" w:color="auto" w:fill="auto"/>
        </w:rPr>
        <w:t>实施党建和中心工作一体化考评。要制定学校党建和中心工作相互贯通的绩效评价体系，探索将学校党建工作量和业务工作量进行测算与互换，量化分析工作量、贡献率、占比额、进步值，把学校党建工作和中心工作放在同一把尺子下统一测量。构建党建与中心工作深度融合一体化考评反馈机制，对各级党组织和党员各项指标的贡献度进行再评价，有效激发党组织和党员的积极性、主动性。</w:t>
      </w:r>
    </w:p>
    <w:p>
      <w:pPr>
        <w:pStyle w:val="14"/>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kern w:val="0"/>
          <w:sz w:val="24"/>
          <w:shd w:val="clear" w:color="auto" w:fill="auto"/>
        </w:rPr>
      </w:pPr>
      <w:r>
        <w:rPr>
          <w:rFonts w:hint="eastAsia" w:ascii="宋体" w:hAnsi="宋体"/>
          <w:kern w:val="0"/>
          <w:sz w:val="24"/>
          <w:shd w:val="clear" w:color="auto" w:fill="auto"/>
        </w:rPr>
        <w:t>实现高校党建与中心工作深度融合，要建立健全一套切实可行的深度融合机制。</w:t>
      </w:r>
    </w:p>
    <w:p>
      <w:pPr>
        <w:pStyle w:val="14"/>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2" w:firstLineChars="200"/>
        <w:textAlignment w:val="auto"/>
        <w:rPr>
          <w:rFonts w:hint="eastAsia" w:ascii="宋体" w:hAnsi="宋体"/>
          <w:kern w:val="0"/>
          <w:sz w:val="24"/>
          <w:shd w:val="clear" w:color="auto" w:fill="auto"/>
        </w:rPr>
      </w:pPr>
      <w:r>
        <w:rPr>
          <w:rFonts w:hint="eastAsia" w:ascii="宋体" w:hAnsi="宋体"/>
          <w:b/>
          <w:bCs/>
          <w:kern w:val="0"/>
          <w:sz w:val="24"/>
          <w:shd w:val="clear" w:color="auto" w:fill="auto"/>
        </w:rPr>
        <w:t>学校党委要强化“三个意识”。一是强化责任意识，</w:t>
      </w:r>
      <w:r>
        <w:rPr>
          <w:rFonts w:hint="eastAsia" w:ascii="宋体" w:hAnsi="宋体"/>
          <w:kern w:val="0"/>
          <w:sz w:val="24"/>
          <w:shd w:val="clear" w:color="auto" w:fill="auto"/>
        </w:rPr>
        <w:t>健全完善责任落实机制。结合学校党建工作和中心工作考评体系，建立健全抓深度融合的责任体系，建立相应的问责办法，推动各级领导干部和广大党务工作者以高度负责的态度抓好工作。</w:t>
      </w:r>
      <w:r>
        <w:rPr>
          <w:rFonts w:hint="eastAsia" w:ascii="宋体" w:hAnsi="宋体"/>
          <w:b/>
          <w:bCs/>
          <w:kern w:val="0"/>
          <w:sz w:val="24"/>
          <w:shd w:val="clear" w:color="auto" w:fill="auto"/>
        </w:rPr>
        <w:t>二是强化问题意识，</w:t>
      </w:r>
      <w:r>
        <w:rPr>
          <w:rFonts w:hint="eastAsia" w:ascii="宋体" w:hAnsi="宋体"/>
          <w:kern w:val="0"/>
          <w:sz w:val="24"/>
          <w:shd w:val="clear" w:color="auto" w:fill="auto"/>
        </w:rPr>
        <w:t>健全完善问题整改机制。大力解决学校党建工作中存在的形式主义、官僚主义现象，树立察实情、出实招、求实效的鲜明导向。同时大力解决党建队伍人员不足、能力不强、水平不高的问题，努力建设一支党务和业务“双强”的“领头雁”队伍。</w:t>
      </w:r>
      <w:r>
        <w:rPr>
          <w:rFonts w:hint="eastAsia" w:ascii="宋体" w:hAnsi="宋体"/>
          <w:b/>
          <w:bCs/>
          <w:kern w:val="0"/>
          <w:sz w:val="24"/>
          <w:shd w:val="clear" w:color="auto" w:fill="auto"/>
        </w:rPr>
        <w:t>三是强化质量意识，</w:t>
      </w:r>
      <w:r>
        <w:rPr>
          <w:rFonts w:hint="eastAsia" w:ascii="宋体" w:hAnsi="宋体"/>
          <w:kern w:val="0"/>
          <w:sz w:val="24"/>
          <w:shd w:val="clear" w:color="auto" w:fill="auto"/>
        </w:rPr>
        <w:t>健全完善质量监管机制。把加强政治建设放在各级党组织建设首位，积极完善落实全面从严治党责任制。大力提升运用信息化手段开展党建工作的能力，定期开展质量评估，总结党建工作与中心工作深度融合的经验教训。</w:t>
      </w:r>
    </w:p>
    <w:p>
      <w:pPr>
        <w:pStyle w:val="14"/>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2" w:firstLineChars="200"/>
        <w:textAlignment w:val="auto"/>
        <w:rPr>
          <w:rFonts w:hint="eastAsia" w:ascii="宋体" w:hAnsi="宋体"/>
          <w:kern w:val="0"/>
          <w:sz w:val="24"/>
          <w:shd w:val="clear" w:color="auto" w:fill="auto"/>
        </w:rPr>
      </w:pPr>
      <w:r>
        <w:rPr>
          <w:rFonts w:hint="eastAsia" w:ascii="宋体" w:hAnsi="宋体"/>
          <w:b/>
          <w:bCs/>
          <w:kern w:val="0"/>
          <w:sz w:val="24"/>
          <w:shd w:val="clear" w:color="auto" w:fill="auto"/>
        </w:rPr>
        <w:t>学校党委、行政要坚持“三个着力”，</w:t>
      </w:r>
      <w:r>
        <w:rPr>
          <w:rFonts w:hint="eastAsia" w:ascii="宋体" w:hAnsi="宋体"/>
          <w:kern w:val="0"/>
          <w:sz w:val="24"/>
          <w:shd w:val="clear" w:color="auto" w:fill="auto"/>
        </w:rPr>
        <w:t>切实解决学校党建与中心工作深度融合的难点问题。</w:t>
      </w:r>
      <w:r>
        <w:rPr>
          <w:rFonts w:hint="eastAsia" w:ascii="宋体" w:hAnsi="宋体"/>
          <w:b/>
          <w:bCs/>
          <w:kern w:val="0"/>
          <w:sz w:val="24"/>
          <w:shd w:val="clear" w:color="auto" w:fill="auto"/>
        </w:rPr>
        <w:t>一是坚持从解决实际问题着力，</w:t>
      </w:r>
      <w:r>
        <w:rPr>
          <w:rFonts w:hint="eastAsia" w:ascii="宋体" w:hAnsi="宋体"/>
          <w:kern w:val="0"/>
          <w:sz w:val="24"/>
          <w:shd w:val="clear" w:color="auto" w:fill="auto"/>
        </w:rPr>
        <w:t>解决教师关切的热点、难点问题，建立健全党内关怀激励帮扶制度，让学校党建有温度。</w:t>
      </w:r>
      <w:r>
        <w:rPr>
          <w:rFonts w:hint="eastAsia" w:ascii="宋体" w:hAnsi="宋体"/>
          <w:b/>
          <w:bCs/>
          <w:kern w:val="0"/>
          <w:sz w:val="24"/>
          <w:shd w:val="clear" w:color="auto" w:fill="auto"/>
        </w:rPr>
        <w:t>二是坚持从教学科研质量提升着力，</w:t>
      </w:r>
      <w:r>
        <w:rPr>
          <w:rFonts w:hint="eastAsia" w:ascii="宋体" w:hAnsi="宋体"/>
          <w:kern w:val="0"/>
          <w:sz w:val="24"/>
          <w:shd w:val="clear" w:color="auto" w:fill="auto"/>
        </w:rPr>
        <w:t>围绕教师业务能力提升，制定中长期和年度培训计划，设立“党员先锋岗”，引导每一名党员教师用心钻研教学科研工作，让学校党建有深度。</w:t>
      </w:r>
      <w:r>
        <w:rPr>
          <w:rFonts w:hint="eastAsia" w:ascii="宋体" w:hAnsi="宋体"/>
          <w:b/>
          <w:bCs/>
          <w:kern w:val="0"/>
          <w:sz w:val="24"/>
          <w:shd w:val="clear" w:color="auto" w:fill="auto"/>
        </w:rPr>
        <w:t>三是坚持从党风廉政建设着力，</w:t>
      </w:r>
      <w:r>
        <w:rPr>
          <w:rFonts w:hint="eastAsia" w:ascii="宋体" w:hAnsi="宋体"/>
          <w:kern w:val="0"/>
          <w:sz w:val="24"/>
          <w:shd w:val="clear" w:color="auto" w:fill="auto"/>
        </w:rPr>
        <w:t>重视厚植积极健康的政治文化土壤，认真分析学校党风廉政建设的风险隐患和苗头性问题，把抓党风廉政建设与师德师风建设相结合，积极开展廉政文化进校园活动，创造风清气正的校园政治生态。</w:t>
      </w:r>
    </w:p>
    <w:p>
      <w:pPr>
        <w:pStyle w:val="14"/>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2" w:firstLineChars="200"/>
        <w:textAlignment w:val="auto"/>
        <w:rPr>
          <w:rFonts w:hint="eastAsia" w:ascii="宋体" w:hAnsi="宋体"/>
          <w:kern w:val="0"/>
          <w:sz w:val="24"/>
          <w:shd w:val="clear" w:color="auto" w:fill="auto"/>
        </w:rPr>
      </w:pPr>
      <w:r>
        <w:rPr>
          <w:rFonts w:hint="eastAsia" w:ascii="宋体" w:hAnsi="宋体"/>
          <w:b/>
          <w:bCs/>
          <w:kern w:val="0"/>
          <w:sz w:val="24"/>
          <w:shd w:val="clear" w:color="auto" w:fill="auto"/>
        </w:rPr>
        <w:t>学校党委、行政要落实“四个一起”，</w:t>
      </w:r>
      <w:r>
        <w:rPr>
          <w:rFonts w:hint="eastAsia" w:ascii="宋体" w:hAnsi="宋体"/>
          <w:kern w:val="0"/>
          <w:sz w:val="24"/>
          <w:shd w:val="clear" w:color="auto" w:fill="auto"/>
        </w:rPr>
        <w:t>不断深化高质量党建引领工作高质量发展的实际效力。</w:t>
      </w:r>
      <w:r>
        <w:rPr>
          <w:rFonts w:hint="eastAsia" w:ascii="宋体" w:hAnsi="宋体"/>
          <w:b/>
          <w:bCs/>
          <w:kern w:val="0"/>
          <w:sz w:val="24"/>
          <w:shd w:val="clear" w:color="auto" w:fill="auto"/>
        </w:rPr>
        <w:t>一是深化“一起谋划”全局思维，</w:t>
      </w:r>
      <w:r>
        <w:rPr>
          <w:rFonts w:hint="eastAsia" w:ascii="宋体" w:hAnsi="宋体"/>
          <w:kern w:val="0"/>
          <w:sz w:val="24"/>
          <w:shd w:val="clear" w:color="auto" w:fill="auto"/>
        </w:rPr>
        <w:t>树牢“围绕中心抓党建，抓好党建促发展”的理念，发挥党建工作政治上的把关定向作用和思想上的激励引导作用，使党建工作与中心工作同向推进。</w:t>
      </w:r>
      <w:r>
        <w:rPr>
          <w:rFonts w:hint="eastAsia" w:ascii="宋体" w:hAnsi="宋体"/>
          <w:b/>
          <w:bCs/>
          <w:kern w:val="0"/>
          <w:sz w:val="24"/>
          <w:shd w:val="clear" w:color="auto" w:fill="auto"/>
        </w:rPr>
        <w:t>二是增强“一起部署”行动自觉，</w:t>
      </w:r>
      <w:r>
        <w:rPr>
          <w:rFonts w:hint="eastAsia" w:ascii="宋体" w:hAnsi="宋体"/>
          <w:kern w:val="0"/>
          <w:sz w:val="24"/>
          <w:shd w:val="clear" w:color="auto" w:fill="auto"/>
        </w:rPr>
        <w:t>切实将重大任务、专项工作与党建工作一起研究部署，做到党建工作和中心工作同步部署、同时发力。</w:t>
      </w:r>
      <w:r>
        <w:rPr>
          <w:rFonts w:hint="eastAsia" w:ascii="宋体" w:hAnsi="宋体"/>
          <w:b/>
          <w:bCs/>
          <w:kern w:val="0"/>
          <w:sz w:val="24"/>
          <w:shd w:val="clear" w:color="auto" w:fill="auto"/>
        </w:rPr>
        <w:t>三是强化“一起落实”过程管理，</w:t>
      </w:r>
      <w:r>
        <w:rPr>
          <w:rFonts w:hint="eastAsia" w:ascii="宋体" w:hAnsi="宋体"/>
          <w:kern w:val="0"/>
          <w:sz w:val="24"/>
          <w:shd w:val="clear" w:color="auto" w:fill="auto"/>
        </w:rPr>
        <w:t>学校党政班子要认真落实“一岗双责”，压实工作责任，特别是要把党建推动中心工作、促进各项任务完成的情况作为重要考评内容，做到党建工作和中心工作一起落实、同步增强。</w:t>
      </w:r>
      <w:r>
        <w:rPr>
          <w:rFonts w:hint="eastAsia" w:ascii="宋体" w:hAnsi="宋体"/>
          <w:b/>
          <w:bCs/>
          <w:kern w:val="0"/>
          <w:sz w:val="24"/>
          <w:shd w:val="clear" w:color="auto" w:fill="auto"/>
        </w:rPr>
        <w:t>四是树牢“一起检查”考核导向，</w:t>
      </w:r>
      <w:r>
        <w:rPr>
          <w:rFonts w:hint="eastAsia" w:ascii="宋体" w:hAnsi="宋体"/>
          <w:kern w:val="0"/>
          <w:sz w:val="24"/>
          <w:shd w:val="clear" w:color="auto" w:fill="auto"/>
        </w:rPr>
        <w:t>将党建工作纳入单位绩效考核管理，结合中心工作，提高党建权重，不断完善党建考核和绩效考核评价体系，深化考核结果综合运用，做到党建和中心工作落地落实、同步提高。</w:t>
      </w:r>
    </w:p>
    <w:p>
      <w:pPr>
        <w:keepNext w:val="0"/>
        <w:keepLines w:val="0"/>
        <w:pageBreakBefore w:val="0"/>
        <w:kinsoku/>
        <w:wordWrap/>
        <w:overflowPunct/>
        <w:topLinePunct w:val="0"/>
        <w:autoSpaceDE/>
        <w:autoSpaceDN/>
        <w:bidi w:val="0"/>
        <w:adjustRightInd w:val="0"/>
        <w:snapToGrid w:val="0"/>
        <w:spacing w:line="440" w:lineRule="exact"/>
        <w:ind w:firstLine="422" w:firstLineChars="200"/>
        <w:jc w:val="both"/>
        <w:textAlignment w:val="auto"/>
        <w:rPr>
          <w:rFonts w:hint="eastAsia" w:ascii="楷体_GB2312" w:hAnsi="楷体_GB2312" w:eastAsia="楷体_GB2312" w:cs="楷体_GB2312"/>
          <w:b/>
          <w:bCs/>
          <w:color w:val="222222"/>
          <w:kern w:val="0"/>
          <w:sz w:val="21"/>
          <w:szCs w:val="21"/>
        </w:rPr>
      </w:pPr>
      <w:r>
        <w:rPr>
          <w:rFonts w:hint="eastAsia" w:ascii="楷体_GB2312" w:hAnsi="楷体_GB2312" w:eastAsia="楷体_GB2312" w:cs="楷体_GB2312"/>
          <w:b/>
          <w:bCs/>
          <w:color w:val="222222"/>
          <w:kern w:val="0"/>
          <w:sz w:val="21"/>
          <w:szCs w:val="21"/>
        </w:rPr>
        <w:t>（作者</w:t>
      </w:r>
      <w:r>
        <w:rPr>
          <w:rFonts w:hint="eastAsia" w:ascii="楷体_GB2312" w:hAnsi="楷体_GB2312" w:eastAsia="楷体_GB2312" w:cs="楷体_GB2312"/>
          <w:b/>
          <w:bCs/>
          <w:color w:val="222222"/>
          <w:kern w:val="0"/>
          <w:sz w:val="21"/>
          <w:szCs w:val="21"/>
          <w:lang w:eastAsia="zh-CN"/>
        </w:rPr>
        <w:t>：</w:t>
      </w:r>
      <w:r>
        <w:rPr>
          <w:rFonts w:hint="eastAsia" w:ascii="楷体_GB2312" w:hAnsi="楷体_GB2312" w:eastAsia="楷体_GB2312" w:cs="楷体_GB2312"/>
          <w:b/>
          <w:bCs/>
          <w:color w:val="222222"/>
          <w:kern w:val="0"/>
          <w:sz w:val="21"/>
          <w:szCs w:val="21"/>
        </w:rPr>
        <w:t>郭涛</w:t>
      </w:r>
      <w:r>
        <w:rPr>
          <w:rFonts w:hint="eastAsia" w:ascii="楷体_GB2312" w:hAnsi="楷体_GB2312" w:eastAsia="楷体_GB2312" w:cs="楷体_GB2312"/>
          <w:b/>
          <w:bCs/>
          <w:color w:val="222222"/>
          <w:kern w:val="0"/>
          <w:sz w:val="21"/>
          <w:szCs w:val="21"/>
          <w:lang w:eastAsia="zh-CN"/>
        </w:rPr>
        <w:t>，</w:t>
      </w:r>
      <w:r>
        <w:rPr>
          <w:rFonts w:hint="eastAsia" w:ascii="楷体_GB2312" w:hAnsi="楷体_GB2312" w:eastAsia="楷体_GB2312" w:cs="楷体_GB2312"/>
          <w:b/>
          <w:bCs/>
          <w:color w:val="222222"/>
          <w:kern w:val="0"/>
          <w:sz w:val="21"/>
          <w:szCs w:val="21"/>
        </w:rPr>
        <w:t>许昌学院党委副书记、工会主席）</w:t>
      </w:r>
    </w:p>
    <w:p>
      <w:pPr>
        <w:pStyle w:val="4"/>
        <w:pageBreakBefore w:val="0"/>
        <w:widowControl w:val="0"/>
        <w:kinsoku/>
        <w:wordWrap/>
        <w:overflowPunct/>
        <w:topLinePunct w:val="0"/>
        <w:autoSpaceDE/>
        <w:autoSpaceDN/>
        <w:bidi w:val="0"/>
        <w:adjustRightInd w:val="0"/>
        <w:snapToGrid w:val="0"/>
        <w:spacing w:line="440" w:lineRule="exact"/>
        <w:ind w:left="0" w:leftChars="0"/>
        <w:jc w:val="center"/>
        <w:textAlignment w:val="auto"/>
        <w:rPr>
          <w:rFonts w:hint="eastAsia"/>
          <w:b/>
          <w:bCs/>
          <w:sz w:val="32"/>
          <w:szCs w:val="32"/>
        </w:rPr>
      </w:pPr>
    </w:p>
    <w:p>
      <w:pPr>
        <w:pStyle w:val="4"/>
        <w:pageBreakBefore w:val="0"/>
        <w:widowControl w:val="0"/>
        <w:kinsoku/>
        <w:wordWrap/>
        <w:overflowPunct/>
        <w:topLinePunct w:val="0"/>
        <w:autoSpaceDE/>
        <w:autoSpaceDN/>
        <w:bidi w:val="0"/>
        <w:adjustRightInd w:val="0"/>
        <w:snapToGrid w:val="0"/>
        <w:spacing w:line="440" w:lineRule="exact"/>
        <w:ind w:left="0" w:leftChars="0"/>
        <w:jc w:val="center"/>
        <w:textAlignment w:val="auto"/>
        <w:rPr>
          <w:rFonts w:hint="eastAsia"/>
          <w:b/>
          <w:bCs/>
          <w:sz w:val="32"/>
          <w:szCs w:val="32"/>
        </w:rPr>
      </w:pPr>
      <w:bookmarkStart w:id="9" w:name="_Toc31915"/>
      <w:bookmarkStart w:id="10" w:name="_Toc97707913"/>
      <w:bookmarkStart w:id="11" w:name="_Toc97707911"/>
      <w:r>
        <w:rPr>
          <w:rFonts w:hint="eastAsia"/>
          <w:b/>
          <w:bCs/>
          <w:sz w:val="32"/>
          <w:szCs w:val="32"/>
        </w:rPr>
        <w:t>全面提高思政课质量和水平</w:t>
      </w:r>
      <w:bookmarkEnd w:id="9"/>
      <w:bookmarkEnd w:id="10"/>
    </w:p>
    <w:p/>
    <w:p>
      <w:pPr>
        <w:keepNext w:val="0"/>
        <w:keepLines w:val="0"/>
        <w:pageBreakBefore w:val="0"/>
        <w:kinsoku/>
        <w:wordWrap/>
        <w:overflowPunct/>
        <w:topLinePunct w:val="0"/>
        <w:autoSpaceDE/>
        <w:autoSpaceDN/>
        <w:bidi w:val="0"/>
        <w:adjustRightInd w:val="0"/>
        <w:snapToGrid w:val="0"/>
        <w:spacing w:line="440" w:lineRule="exact"/>
        <w:ind w:left="0"/>
        <w:textAlignment w:val="auto"/>
        <w:rPr>
          <w:rFonts w:hint="eastAsia" w:ascii="楷体" w:hAnsi="楷体" w:eastAsia="楷体" w:cs="楷体"/>
          <w:sz w:val="24"/>
          <w:szCs w:val="24"/>
        </w:rPr>
      </w:pPr>
      <w:r>
        <w:rPr>
          <w:rFonts w:hint="eastAsia" w:ascii="楷体" w:hAnsi="楷体" w:eastAsia="楷体" w:cs="楷体"/>
          <w:b/>
          <w:bCs/>
          <w:sz w:val="24"/>
          <w:szCs w:val="24"/>
        </w:rPr>
        <w:t>推荐人：</w:t>
      </w:r>
      <w:r>
        <w:rPr>
          <w:rFonts w:hint="eastAsia" w:ascii="楷体" w:hAnsi="楷体" w:eastAsia="楷体" w:cs="楷体"/>
          <w:sz w:val="24"/>
          <w:szCs w:val="24"/>
        </w:rPr>
        <w:t>李黎</w:t>
      </w:r>
    </w:p>
    <w:p>
      <w:pPr>
        <w:keepNext w:val="0"/>
        <w:keepLines w:val="0"/>
        <w:pageBreakBefore w:val="0"/>
        <w:kinsoku/>
        <w:wordWrap/>
        <w:overflowPunct/>
        <w:topLinePunct w:val="0"/>
        <w:autoSpaceDE/>
        <w:autoSpaceDN/>
        <w:bidi w:val="0"/>
        <w:adjustRightInd w:val="0"/>
        <w:snapToGrid w:val="0"/>
        <w:spacing w:line="440" w:lineRule="exact"/>
        <w:ind w:left="0"/>
        <w:textAlignment w:val="auto"/>
        <w:rPr>
          <w:rFonts w:hint="eastAsia" w:ascii="楷体" w:hAnsi="楷体" w:eastAsia="楷体" w:cs="楷体"/>
          <w:sz w:val="24"/>
          <w:szCs w:val="24"/>
        </w:rPr>
      </w:pPr>
      <w:r>
        <w:rPr>
          <w:rFonts w:hint="eastAsia" w:ascii="楷体" w:hAnsi="楷体" w:eastAsia="楷体" w:cs="楷体"/>
          <w:b/>
          <w:bCs/>
          <w:sz w:val="24"/>
          <w:szCs w:val="24"/>
        </w:rPr>
        <w:t>推荐单位：</w:t>
      </w:r>
      <w:r>
        <w:rPr>
          <w:rFonts w:hint="eastAsia" w:ascii="楷体" w:hAnsi="楷体" w:eastAsia="楷体" w:cs="楷体"/>
          <w:sz w:val="24"/>
          <w:szCs w:val="24"/>
        </w:rPr>
        <w:t>机械与电子工程学院</w:t>
      </w:r>
    </w:p>
    <w:p>
      <w:pPr>
        <w:keepNext w:val="0"/>
        <w:keepLines w:val="0"/>
        <w:pageBreakBefore w:val="0"/>
        <w:kinsoku/>
        <w:wordWrap/>
        <w:overflowPunct/>
        <w:topLinePunct w:val="0"/>
        <w:autoSpaceDE/>
        <w:autoSpaceDN/>
        <w:bidi w:val="0"/>
        <w:adjustRightInd w:val="0"/>
        <w:snapToGrid w:val="0"/>
        <w:spacing w:line="440" w:lineRule="exact"/>
        <w:ind w:left="0"/>
        <w:textAlignment w:val="auto"/>
        <w:rPr>
          <w:rFonts w:hint="eastAsia" w:ascii="楷体" w:hAnsi="楷体" w:eastAsia="楷体" w:cs="楷体"/>
          <w:bCs/>
          <w:sz w:val="24"/>
          <w:szCs w:val="24"/>
        </w:rPr>
      </w:pPr>
      <w:r>
        <w:rPr>
          <w:rFonts w:hint="eastAsia" w:ascii="楷体" w:hAnsi="楷体" w:eastAsia="楷体" w:cs="楷体"/>
          <w:b/>
          <w:bCs/>
          <w:sz w:val="24"/>
          <w:szCs w:val="24"/>
        </w:rPr>
        <w:t>推荐</w:t>
      </w:r>
      <w:r>
        <w:rPr>
          <w:rFonts w:hint="eastAsia" w:ascii="楷体" w:hAnsi="楷体" w:eastAsia="楷体" w:cs="楷体"/>
          <w:b/>
          <w:bCs/>
          <w:sz w:val="24"/>
          <w:szCs w:val="24"/>
          <w:lang w:eastAsia="zh-CN"/>
        </w:rPr>
        <w:t>审核</w:t>
      </w:r>
      <w:r>
        <w:rPr>
          <w:rFonts w:hint="eastAsia" w:ascii="楷体" w:hAnsi="楷体" w:eastAsia="楷体" w:cs="楷体"/>
          <w:b/>
          <w:bCs/>
          <w:sz w:val="24"/>
          <w:szCs w:val="24"/>
        </w:rPr>
        <w:t>人：</w:t>
      </w:r>
      <w:r>
        <w:rPr>
          <w:rFonts w:hint="eastAsia" w:ascii="楷体" w:hAnsi="楷体" w:eastAsia="楷体" w:cs="楷体"/>
          <w:sz w:val="24"/>
          <w:szCs w:val="24"/>
        </w:rPr>
        <w:t>冉亮</w:t>
      </w:r>
    </w:p>
    <w:p>
      <w:pPr>
        <w:keepNext w:val="0"/>
        <w:keepLines w:val="0"/>
        <w:pageBreakBefore w:val="0"/>
        <w:widowControl/>
        <w:kinsoku/>
        <w:wordWrap/>
        <w:overflowPunct/>
        <w:topLinePunct w:val="0"/>
        <w:autoSpaceDE/>
        <w:autoSpaceDN/>
        <w:bidi w:val="0"/>
        <w:adjustRightInd w:val="0"/>
        <w:snapToGrid w:val="0"/>
        <w:spacing w:line="440" w:lineRule="exact"/>
        <w:ind w:left="0"/>
        <w:jc w:val="left"/>
        <w:textAlignment w:val="auto"/>
        <w:rPr>
          <w:rFonts w:hint="eastAsia" w:ascii="楷体" w:hAnsi="楷体" w:eastAsia="楷体" w:cs="楷体"/>
          <w:sz w:val="24"/>
          <w:szCs w:val="24"/>
          <w:lang w:eastAsia="zh-CN"/>
        </w:rPr>
      </w:pPr>
      <w:r>
        <w:rPr>
          <w:rFonts w:hint="eastAsia" w:ascii="楷体" w:hAnsi="楷体" w:eastAsia="楷体" w:cs="楷体"/>
          <w:b/>
          <w:bCs/>
          <w:sz w:val="24"/>
          <w:szCs w:val="24"/>
        </w:rPr>
        <w:t>推荐理由或点评：</w:t>
      </w:r>
      <w:r>
        <w:rPr>
          <w:rFonts w:hint="eastAsia" w:ascii="楷体" w:hAnsi="楷体" w:eastAsia="楷体" w:cs="楷体"/>
          <w:sz w:val="24"/>
          <w:szCs w:val="24"/>
        </w:rPr>
        <w:t>思政课不再是枯燥的印象，通过各种改革增加了思政课的时效性、有针对性，增加亲和力，越来越多的思政课也在学生中“圈粉”，增强了老师上好思政课的信心</w:t>
      </w:r>
      <w:r>
        <w:rPr>
          <w:rFonts w:hint="eastAsia" w:ascii="楷体" w:hAnsi="楷体" w:eastAsia="楷体" w:cs="楷体"/>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440" w:lineRule="exact"/>
        <w:ind w:left="0"/>
        <w:jc w:val="left"/>
        <w:textAlignment w:val="auto"/>
        <w:rPr>
          <w:rFonts w:hint="eastAsia" w:ascii="楷体" w:hAnsi="楷体" w:eastAsia="楷体" w:cs="楷体"/>
          <w:b/>
          <w:bCs/>
          <w:sz w:val="24"/>
          <w:szCs w:val="24"/>
        </w:rPr>
      </w:pPr>
      <w:r>
        <w:rPr>
          <w:rFonts w:hint="eastAsia" w:ascii="楷体" w:hAnsi="楷体" w:eastAsia="楷体" w:cs="楷体"/>
          <w:b/>
          <w:bCs/>
          <w:sz w:val="24"/>
          <w:szCs w:val="24"/>
        </w:rPr>
        <w:t>来源：</w:t>
      </w:r>
      <w:r>
        <w:rPr>
          <w:rFonts w:hint="eastAsia" w:ascii="楷体" w:hAnsi="楷体" w:eastAsia="楷体" w:cs="楷体"/>
          <w:sz w:val="24"/>
          <w:szCs w:val="24"/>
        </w:rPr>
        <w:t>新华网</w:t>
      </w:r>
    </w:p>
    <w:p>
      <w:pPr>
        <w:keepNext w:val="0"/>
        <w:keepLines w:val="0"/>
        <w:pageBreakBefore w:val="0"/>
        <w:kinsoku/>
        <w:wordWrap/>
        <w:overflowPunct/>
        <w:topLinePunct w:val="0"/>
        <w:autoSpaceDE/>
        <w:autoSpaceDN/>
        <w:bidi w:val="0"/>
        <w:adjustRightInd w:val="0"/>
        <w:snapToGrid w:val="0"/>
        <w:spacing w:line="440" w:lineRule="exact"/>
        <w:ind w:left="0"/>
        <w:textAlignment w:val="auto"/>
        <w:rPr>
          <w:rFonts w:hint="eastAsia" w:ascii="楷体" w:hAnsi="楷体" w:eastAsia="楷体" w:cs="楷体"/>
          <w:b/>
          <w:bCs/>
          <w:sz w:val="24"/>
          <w:szCs w:val="24"/>
        </w:rPr>
      </w:pPr>
      <w:r>
        <w:rPr>
          <w:rFonts w:hint="eastAsia" w:ascii="楷体" w:hAnsi="楷体" w:eastAsia="楷体" w:cs="楷体"/>
          <w:b/>
          <w:bCs/>
          <w:sz w:val="24"/>
          <w:szCs w:val="24"/>
        </w:rPr>
        <w:t>网址：</w:t>
      </w:r>
    </w:p>
    <w:p>
      <w:pPr>
        <w:keepNext w:val="0"/>
        <w:keepLines w:val="0"/>
        <w:pageBreakBefore w:val="0"/>
        <w:kinsoku/>
        <w:wordWrap/>
        <w:overflowPunct/>
        <w:topLinePunct w:val="0"/>
        <w:autoSpaceDE/>
        <w:autoSpaceDN/>
        <w:bidi w:val="0"/>
        <w:adjustRightInd w:val="0"/>
        <w:snapToGrid w:val="0"/>
        <w:spacing w:line="440" w:lineRule="exact"/>
        <w:ind w:left="0"/>
        <w:textAlignment w:val="auto"/>
        <w:rPr>
          <w:rFonts w:hint="eastAsia" w:ascii="楷体" w:hAnsi="楷体" w:eastAsia="楷体" w:cs="楷体"/>
          <w:b/>
          <w:bCs/>
          <w:sz w:val="24"/>
          <w:szCs w:val="24"/>
        </w:rPr>
      </w:pPr>
      <w:r>
        <w:rPr>
          <w:rFonts w:hint="eastAsia" w:ascii="楷体" w:hAnsi="楷体" w:eastAsia="楷体" w:cs="楷体"/>
          <w:sz w:val="24"/>
          <w:szCs w:val="24"/>
        </w:rPr>
        <w:t>http://www.xinhuanet.com/comments/20220303/d18971c04c9044fb9198837dcb7669eb/c.html</w:t>
      </w:r>
    </w:p>
    <w:p>
      <w:pPr>
        <w:keepNext w:val="0"/>
        <w:keepLines w:val="0"/>
        <w:pageBreakBefore w:val="0"/>
        <w:kinsoku/>
        <w:wordWrap/>
        <w:overflowPunct/>
        <w:topLinePunct w:val="0"/>
        <w:autoSpaceDE/>
        <w:autoSpaceDN/>
        <w:bidi w:val="0"/>
        <w:adjustRightInd w:val="0"/>
        <w:snapToGrid w:val="0"/>
        <w:spacing w:line="440" w:lineRule="exact"/>
        <w:ind w:left="0" w:hanging="241" w:hangingChars="100"/>
        <w:textAlignment w:val="auto"/>
        <w:rPr>
          <w:rFonts w:hint="eastAsia" w:ascii="楷体" w:hAnsi="楷体" w:eastAsia="楷体" w:cs="楷体"/>
          <w:sz w:val="24"/>
          <w:szCs w:val="24"/>
        </w:rPr>
      </w:pPr>
      <w:r>
        <w:rPr>
          <w:rFonts w:hint="eastAsia" w:ascii="楷体" w:hAnsi="楷体" w:eastAsia="楷体" w:cs="楷体"/>
          <w:b/>
          <w:bCs/>
          <w:sz w:val="24"/>
          <w:szCs w:val="24"/>
        </w:rPr>
        <w:t>本文发表时间：</w:t>
      </w:r>
      <w:r>
        <w:rPr>
          <w:rFonts w:hint="eastAsia" w:ascii="楷体" w:hAnsi="楷体" w:eastAsia="楷体" w:cs="楷体"/>
          <w:sz w:val="24"/>
          <w:szCs w:val="24"/>
        </w:rPr>
        <w:t>2022年3月3日</w:t>
      </w:r>
    </w:p>
    <w:p>
      <w:pPr>
        <w:keepNext w:val="0"/>
        <w:keepLines w:val="0"/>
        <w:pageBreakBefore w:val="0"/>
        <w:kinsoku/>
        <w:wordWrap/>
        <w:overflowPunct/>
        <w:topLinePunct w:val="0"/>
        <w:autoSpaceDE/>
        <w:autoSpaceDN/>
        <w:bidi w:val="0"/>
        <w:adjustRightInd w:val="0"/>
        <w:snapToGrid w:val="0"/>
        <w:spacing w:line="440" w:lineRule="exact"/>
        <w:ind w:left="0"/>
        <w:textAlignment w:val="auto"/>
        <w:rPr>
          <w:rFonts w:hint="eastAsia" w:ascii="楷体" w:hAnsi="楷体" w:eastAsia="楷体" w:cs="楷体"/>
          <w:bCs/>
          <w:sz w:val="24"/>
          <w:szCs w:val="24"/>
        </w:rPr>
      </w:pPr>
      <w:r>
        <w:rPr>
          <w:rFonts w:hint="eastAsia" w:ascii="楷体" w:hAnsi="楷体" w:eastAsia="楷体" w:cs="楷体"/>
          <w:b/>
          <w:bCs/>
          <w:sz w:val="24"/>
          <w:szCs w:val="24"/>
        </w:rPr>
        <w:t>本文推荐时间：</w:t>
      </w:r>
      <w:r>
        <w:rPr>
          <w:rFonts w:hint="eastAsia" w:ascii="楷体" w:hAnsi="楷体" w:eastAsia="楷体" w:cs="楷体"/>
          <w:sz w:val="24"/>
          <w:szCs w:val="24"/>
        </w:rPr>
        <w:t>2022年3月4</w:t>
      </w:r>
      <w:r>
        <w:rPr>
          <w:rFonts w:hint="eastAsia" w:ascii="楷体" w:hAnsi="楷体" w:eastAsia="楷体" w:cs="楷体"/>
          <w:bCs/>
          <w:sz w:val="24"/>
          <w:szCs w:val="24"/>
        </w:rPr>
        <w:t>日</w:t>
      </w:r>
    </w:p>
    <w:p>
      <w:pPr>
        <w:pStyle w:val="2"/>
        <w:keepNext w:val="0"/>
        <w:keepLines w:val="0"/>
        <w:pageBreakBefore w:val="0"/>
        <w:kinsoku/>
        <w:wordWrap/>
        <w:overflowPunct/>
        <w:topLinePunct w:val="0"/>
        <w:autoSpaceDE/>
        <w:autoSpaceDN/>
        <w:bidi w:val="0"/>
        <w:adjustRightInd w:val="0"/>
        <w:snapToGrid w:val="0"/>
        <w:spacing w:after="0" w:line="440" w:lineRule="exact"/>
        <w:ind w:left="0" w:leftChars="0"/>
        <w:textAlignment w:val="auto"/>
        <w:rPr>
          <w:rFonts w:hint="eastAsia"/>
        </w:rPr>
      </w:pPr>
    </w:p>
    <w:p>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只有不断增强思政课的思想性、理论性和亲和力、针对性，才能推动实现全员全程全方位育人，培养一代又一代社会主义建设者和接班人</w:t>
      </w:r>
    </w:p>
    <w:p>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北京大学，有一门思政课堪称“爆款”：授课地点有2000个座位却场场爆满，选课需要靠“抢”；每堂课持续至少2小时，学生全程沉浸其中……这门课的名字叫做“形势与政策”，每节课都会邀请知名专家授课。</w:t>
      </w:r>
    </w:p>
    <w:p>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教室满满当当、上课聚精会神，体现了学生对思政课的喜爱；课上“点头率”的提高、作业中的深入思考，彰显了思政课立德树人的成效。近年来，随着思政课的改革创新，越来越多的思政课成为校园里的“爆款”课程。比如，在复旦大学，原本只有120个名额的选修课“中国共产党历史”吸引了400多名学生报名。火爆的思政课，在很多学校成为一道亮丽风景。</w:t>
      </w:r>
    </w:p>
    <w:p>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思政课成为“爆款”，源自向外拓展，让思政小课堂与社会大课堂同频共振。</w:t>
      </w:r>
      <w:r>
        <w:rPr>
          <w:rFonts w:hint="eastAsia" w:ascii="宋体" w:hAnsi="宋体" w:eastAsia="宋体" w:cs="宋体"/>
          <w:color w:val="auto"/>
          <w:sz w:val="24"/>
          <w:szCs w:val="24"/>
        </w:rPr>
        <w:t>将学校教育与社会教育结合，有助于推动课堂成为认识社会的窗口。讲授供给侧结构性改革，便请来知名经济学者；阐释文化自信，邀请博物院院长走上讲台；介绍外交政策，请相关部门同志答疑解惑……在思维的激荡、情感的共鸣中，学生们将理论与实际相结合，对所学所获有了更深刻的认识。</w:t>
      </w:r>
    </w:p>
    <w:p>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思政课成为“爆款”，也源自向内深耕，将科学理论与认知规律紧密对接。</w:t>
      </w:r>
      <w:r>
        <w:rPr>
          <w:rFonts w:hint="eastAsia" w:ascii="宋体" w:hAnsi="宋体" w:eastAsia="宋体" w:cs="宋体"/>
          <w:color w:val="auto"/>
          <w:sz w:val="24"/>
          <w:szCs w:val="24"/>
        </w:rPr>
        <w:t>课堂上，学生们踊跃提问；老师鼓励交流，希望多提问。以透彻的学理分析回应学生，以彻底的思想理论说服学生，用真理的强大力量引导学生，就能创造深刻的学习体验，引导学生树立正确的理想信念、学会正确的思维方法。</w:t>
      </w:r>
    </w:p>
    <w:p>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生逢其时，重任在肩。青少年阶段是人生的“拔节孕穗期”，最需要精心引导和栽培。思政课除了形式的改变、方法的创新，还需要将深层次理论和实践问题讲清楚、讲透彻，如此才能满足学生的认知发展需要。因此，思政课老师不仅要在课堂上解疑释惑，也要在课堂外引导学生学思践悟。在中国人民大学开设的一门以脱贫攻坚为主题的“形势与政策”研讨课上，专家和扶贫干部深入交流；在西藏日喀则市上海实验学校，学生们走进青稞地，体会劳动的价值意义，感受家乡的变化发展。事实证明，只有不断增强思政课的思想性、理论性和亲和力、针对性，才能推动实现全员全程全方位育人，培养一代又一代社会主义建设者和接班人。</w:t>
      </w:r>
    </w:p>
    <w:p>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jc w:val="both"/>
        <w:textAlignment w:val="auto"/>
        <w:rPr>
          <w:rFonts w:hint="eastAsia" w:ascii="楷体_GB2312" w:hAnsi="楷体_GB2312" w:eastAsia="楷体_GB2312" w:cs="楷体_GB2312"/>
          <w:b/>
          <w:bCs/>
          <w:color w:val="222222"/>
          <w:kern w:val="0"/>
          <w:sz w:val="21"/>
          <w:szCs w:val="21"/>
        </w:rPr>
      </w:pPr>
      <w:r>
        <w:rPr>
          <w:rFonts w:hint="eastAsia" w:ascii="宋体" w:hAnsi="宋体" w:eastAsia="宋体" w:cs="宋体"/>
          <w:color w:val="auto"/>
          <w:sz w:val="24"/>
          <w:szCs w:val="24"/>
        </w:rPr>
        <w:t>思政课堂的火爆，反映了学生们对高质量思政课的需求和期待。与此同时，通过积极拓展课堂渠道、发挥信息技术优势，越来越多的思政课也在学生中“圈粉”。切实增强办好思政课的信心，全面提高思政课质量和水平，我们定能培养好担当民族复兴大任的时代新人。</w:t>
      </w:r>
      <w:r>
        <w:rPr>
          <w:rFonts w:hint="eastAsia" w:ascii="楷体_GB2312" w:hAnsi="楷体_GB2312" w:eastAsia="楷体_GB2312" w:cs="楷体_GB2312"/>
          <w:b/>
          <w:bCs/>
          <w:color w:val="222222"/>
          <w:kern w:val="0"/>
          <w:sz w:val="21"/>
          <w:szCs w:val="21"/>
        </w:rPr>
        <w:t>（吴 月）</w:t>
      </w:r>
    </w:p>
    <w:bookmarkEnd w:id="11"/>
    <w:p>
      <w:pPr>
        <w:pStyle w:val="4"/>
        <w:bidi w:val="0"/>
        <w:rPr>
          <w:rFonts w:hint="eastAsia" w:cs="Times New Roman"/>
          <w:sz w:val="32"/>
          <w:szCs w:val="32"/>
        </w:rPr>
      </w:pPr>
    </w:p>
    <w:p>
      <w:pPr>
        <w:pStyle w:val="4"/>
        <w:bidi w:val="0"/>
        <w:rPr>
          <w:rFonts w:hint="eastAsia" w:cs="Times New Roman"/>
          <w:sz w:val="32"/>
          <w:szCs w:val="32"/>
        </w:rPr>
      </w:pPr>
      <w:bookmarkStart w:id="12" w:name="_Toc97707910"/>
      <w:bookmarkStart w:id="13" w:name="_Toc31990"/>
      <w:bookmarkStart w:id="14" w:name="_Toc844"/>
      <w:r>
        <w:rPr>
          <w:rFonts w:hint="eastAsia" w:cs="Times New Roman"/>
          <w:sz w:val="32"/>
          <w:szCs w:val="32"/>
        </w:rPr>
        <w:t>推进高校“专创融合”关键在抓牢“创新”</w:t>
      </w:r>
      <w:bookmarkEnd w:id="12"/>
      <w:bookmarkEnd w:id="13"/>
      <w:bookmarkEnd w:id="14"/>
    </w:p>
    <w:p>
      <w:pPr>
        <w:rPr>
          <w:rFonts w:hint="eastAsia"/>
        </w:rPr>
      </w:pP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楷体" w:hAnsi="楷体" w:eastAsia="楷体" w:cs="楷体"/>
          <w:bCs/>
          <w:sz w:val="24"/>
          <w:szCs w:val="24"/>
        </w:rPr>
      </w:pPr>
      <w:r>
        <w:rPr>
          <w:rFonts w:hint="eastAsia" w:ascii="楷体" w:hAnsi="楷体" w:eastAsia="楷体" w:cs="楷体"/>
          <w:b/>
          <w:bCs/>
          <w:sz w:val="24"/>
          <w:szCs w:val="24"/>
        </w:rPr>
        <w:t>推荐人：</w:t>
      </w:r>
      <w:r>
        <w:rPr>
          <w:rFonts w:hint="eastAsia" w:ascii="楷体" w:hAnsi="楷体" w:eastAsia="楷体" w:cs="楷体"/>
          <w:bCs/>
          <w:sz w:val="24"/>
          <w:szCs w:val="24"/>
        </w:rPr>
        <w:t>杨俊、王松太、周成芳、史钰荣、林丽萍、杨磊、秦辉</w:t>
      </w:r>
    </w:p>
    <w:p>
      <w:pPr>
        <w:pStyle w:val="2"/>
        <w:keepNext w:val="0"/>
        <w:keepLines w:val="0"/>
        <w:pageBreakBefore w:val="0"/>
        <w:kinsoku/>
        <w:wordWrap/>
        <w:overflowPunct/>
        <w:topLinePunct w:val="0"/>
        <w:autoSpaceDE/>
        <w:autoSpaceDN/>
        <w:bidi w:val="0"/>
        <w:adjustRightInd w:val="0"/>
        <w:snapToGrid w:val="0"/>
        <w:spacing w:after="0" w:line="440" w:lineRule="exact"/>
        <w:ind w:left="0" w:leftChars="0" w:firstLine="0" w:firstLineChars="0"/>
        <w:textAlignment w:val="auto"/>
        <w:rPr>
          <w:rFonts w:hint="eastAsia" w:ascii="楷体" w:hAnsi="楷体" w:eastAsia="楷体" w:cs="楷体"/>
          <w:bCs/>
          <w:sz w:val="24"/>
          <w:szCs w:val="24"/>
          <w:lang w:eastAsia="zh-CN"/>
        </w:rPr>
      </w:pPr>
      <w:r>
        <w:rPr>
          <w:rFonts w:hint="eastAsia" w:ascii="楷体" w:hAnsi="楷体" w:eastAsia="楷体" w:cs="楷体"/>
          <w:b/>
          <w:bCs w:val="0"/>
          <w:sz w:val="24"/>
          <w:szCs w:val="24"/>
          <w:lang w:eastAsia="zh-CN"/>
        </w:rPr>
        <w:t>推荐单位：</w:t>
      </w:r>
      <w:r>
        <w:rPr>
          <w:rFonts w:hint="eastAsia" w:ascii="楷体" w:hAnsi="楷体" w:eastAsia="楷体" w:cs="楷体"/>
          <w:bCs/>
          <w:sz w:val="24"/>
          <w:szCs w:val="24"/>
          <w:lang w:eastAsia="zh-CN"/>
        </w:rPr>
        <w:t>医药学院、教务处、化学与环境工程学院·食品科技学院、建筑工程学院、图书馆、财务处、创业学院</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楷体" w:hAnsi="楷体" w:eastAsia="楷体" w:cs="楷体"/>
          <w:b w:val="0"/>
          <w:bCs w:val="0"/>
          <w:sz w:val="24"/>
          <w:szCs w:val="24"/>
        </w:rPr>
      </w:pPr>
      <w:r>
        <w:rPr>
          <w:rFonts w:hint="eastAsia" w:ascii="楷体" w:hAnsi="楷体" w:eastAsia="楷体" w:cs="楷体"/>
          <w:b/>
          <w:bCs/>
          <w:sz w:val="24"/>
          <w:szCs w:val="24"/>
        </w:rPr>
        <w:t>推荐上报人：</w:t>
      </w:r>
      <w:r>
        <w:rPr>
          <w:rFonts w:hint="eastAsia" w:ascii="楷体" w:hAnsi="楷体" w:eastAsia="楷体" w:cs="楷体"/>
          <w:b w:val="0"/>
          <w:bCs w:val="0"/>
          <w:sz w:val="24"/>
          <w:szCs w:val="24"/>
        </w:rPr>
        <w:t>赖晓晶、刘春侠、隆琪、刘怿凡、孙林、方原英、余仕良</w:t>
      </w:r>
    </w:p>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hint="eastAsia" w:ascii="楷体" w:hAnsi="楷体" w:eastAsia="楷体" w:cs="楷体"/>
          <w:b w:val="0"/>
          <w:bCs/>
          <w:sz w:val="24"/>
          <w:szCs w:val="24"/>
          <w:lang w:eastAsia="zh-CN"/>
        </w:rPr>
      </w:pPr>
      <w:r>
        <w:rPr>
          <w:rFonts w:hint="eastAsia" w:ascii="楷体" w:hAnsi="楷体" w:eastAsia="楷体" w:cs="楷体"/>
          <w:b/>
          <w:bCs/>
          <w:sz w:val="24"/>
          <w:szCs w:val="24"/>
        </w:rPr>
        <w:t>推荐理由或点评：</w:t>
      </w:r>
      <w:r>
        <w:rPr>
          <w:rFonts w:hint="eastAsia" w:ascii="楷体" w:hAnsi="楷体" w:eastAsia="楷体" w:cs="楷体"/>
          <w:b w:val="0"/>
          <w:bCs/>
          <w:color w:val="222222"/>
          <w:kern w:val="0"/>
          <w:sz w:val="24"/>
          <w:szCs w:val="24"/>
        </w:rPr>
        <w:t>“大众创业，万众创新”时代的到来赋予了创新创业教育新的内涵，同时也对创新创业教育提出了更高要求。当前，我国高校创新创业教育已在课程体系、实践活动、组织建设等方面取得显著成效，但仍面临脱离于专业教育的现实困境。在强调自主创新的新发展格局下，亟须进一步明确高校创新创业教育与专业教育的发展现状，找准二者融合的切入点。</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楷体" w:hAnsi="楷体" w:eastAsia="楷体" w:cs="楷体"/>
          <w:b/>
          <w:bCs/>
          <w:sz w:val="24"/>
          <w:szCs w:val="24"/>
        </w:rPr>
      </w:pPr>
      <w:r>
        <w:rPr>
          <w:rFonts w:hint="eastAsia" w:ascii="楷体" w:hAnsi="楷体" w:eastAsia="楷体" w:cs="楷体"/>
          <w:b/>
          <w:bCs/>
          <w:sz w:val="24"/>
          <w:szCs w:val="24"/>
        </w:rPr>
        <w:t>来源：</w:t>
      </w:r>
      <w:r>
        <w:rPr>
          <w:rFonts w:hint="eastAsia" w:ascii="楷体" w:hAnsi="楷体" w:eastAsia="楷体" w:cs="楷体"/>
          <w:bCs/>
          <w:sz w:val="24"/>
          <w:szCs w:val="24"/>
        </w:rPr>
        <w:t>中国教育报</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楷体" w:hAnsi="楷体" w:eastAsia="楷体" w:cs="楷体"/>
          <w:b/>
          <w:bCs/>
          <w:sz w:val="24"/>
          <w:szCs w:val="24"/>
        </w:rPr>
      </w:pPr>
      <w:r>
        <w:rPr>
          <w:rFonts w:hint="eastAsia" w:ascii="楷体" w:hAnsi="楷体" w:eastAsia="楷体" w:cs="楷体"/>
          <w:b/>
          <w:bCs/>
          <w:sz w:val="24"/>
          <w:szCs w:val="24"/>
        </w:rPr>
        <w:t>网址：</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楷体" w:hAnsi="楷体" w:eastAsia="楷体" w:cs="楷体"/>
          <w:bCs/>
          <w:sz w:val="24"/>
          <w:szCs w:val="24"/>
        </w:rPr>
      </w:pPr>
      <w:r>
        <w:rPr>
          <w:rFonts w:hint="eastAsia" w:ascii="楷体" w:hAnsi="楷体" w:eastAsia="楷体" w:cs="楷体"/>
          <w:bCs/>
          <w:sz w:val="24"/>
          <w:szCs w:val="24"/>
        </w:rPr>
        <w:t>http://paper.jyb.cn/zgjyb/html/2022-03/07/content_606248.htm?div=-1</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楷体" w:hAnsi="楷体" w:eastAsia="楷体" w:cs="楷体"/>
          <w:bCs/>
          <w:sz w:val="24"/>
          <w:szCs w:val="24"/>
        </w:rPr>
      </w:pPr>
      <w:r>
        <w:rPr>
          <w:rFonts w:hint="eastAsia" w:ascii="楷体" w:hAnsi="楷体" w:eastAsia="楷体" w:cs="楷体"/>
          <w:b/>
          <w:bCs/>
          <w:sz w:val="24"/>
          <w:szCs w:val="24"/>
        </w:rPr>
        <w:t>本文发表时间：</w:t>
      </w:r>
      <w:r>
        <w:rPr>
          <w:rFonts w:hint="eastAsia" w:ascii="楷体" w:hAnsi="楷体" w:eastAsia="楷体" w:cs="楷体"/>
          <w:sz w:val="24"/>
          <w:szCs w:val="24"/>
        </w:rPr>
        <w:t>2022年3月7日</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楷体" w:hAnsi="楷体" w:eastAsia="楷体" w:cs="楷体"/>
          <w:bCs/>
          <w:sz w:val="24"/>
          <w:szCs w:val="24"/>
        </w:rPr>
      </w:pPr>
      <w:r>
        <w:rPr>
          <w:rFonts w:hint="eastAsia" w:ascii="楷体" w:hAnsi="楷体" w:eastAsia="楷体" w:cs="楷体"/>
          <w:b/>
          <w:bCs/>
          <w:sz w:val="24"/>
          <w:szCs w:val="24"/>
        </w:rPr>
        <w:t>本文推荐时间：</w:t>
      </w:r>
      <w:r>
        <w:rPr>
          <w:rFonts w:hint="eastAsia" w:ascii="楷体" w:hAnsi="楷体" w:eastAsia="楷体" w:cs="楷体"/>
          <w:sz w:val="24"/>
          <w:szCs w:val="24"/>
        </w:rPr>
        <w:t>2022年3</w:t>
      </w:r>
      <w:r>
        <w:rPr>
          <w:rFonts w:hint="eastAsia" w:ascii="楷体" w:hAnsi="楷体" w:eastAsia="楷体" w:cs="楷体"/>
          <w:bCs/>
          <w:sz w:val="24"/>
          <w:szCs w:val="24"/>
        </w:rPr>
        <w:t>月7日</w:t>
      </w:r>
    </w:p>
    <w:p>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222222"/>
          <w:kern w:val="0"/>
          <w:sz w:val="24"/>
          <w:szCs w:val="24"/>
        </w:rPr>
      </w:pPr>
    </w:p>
    <w:p>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color w:val="222222"/>
          <w:kern w:val="0"/>
          <w:sz w:val="24"/>
          <w:szCs w:val="24"/>
        </w:rPr>
      </w:pPr>
      <w:r>
        <w:rPr>
          <w:rFonts w:hint="eastAsia" w:ascii="宋体" w:hAnsi="宋体" w:eastAsia="宋体" w:cs="宋体"/>
          <w:b/>
          <w:bCs/>
          <w:color w:val="222222"/>
          <w:kern w:val="0"/>
          <w:sz w:val="24"/>
          <w:szCs w:val="24"/>
        </w:rPr>
        <w:t>“专创融合”难，问题出在哪儿</w:t>
      </w:r>
    </w:p>
    <w:p>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当前，一些高校在实施创新创业教育过程中，无论在课程设置、教学方式还是实践活动环节，都不同程度地出现了与专业教育相脱离的状况。</w:t>
      </w:r>
    </w:p>
    <w:p>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color w:val="222222"/>
          <w:kern w:val="0"/>
          <w:sz w:val="24"/>
          <w:szCs w:val="24"/>
        </w:rPr>
      </w:pPr>
      <w:r>
        <w:rPr>
          <w:rFonts w:hint="eastAsia" w:ascii="宋体" w:hAnsi="宋体" w:eastAsia="宋体" w:cs="宋体"/>
          <w:b/>
          <w:bCs/>
          <w:color w:val="222222"/>
          <w:kern w:val="0"/>
          <w:sz w:val="24"/>
          <w:szCs w:val="24"/>
        </w:rPr>
        <w:t>一是高校创新创业课程与专业课程存在“两张皮”现象。</w:t>
      </w:r>
      <w:r>
        <w:rPr>
          <w:rFonts w:hint="eastAsia" w:ascii="宋体" w:hAnsi="宋体" w:eastAsia="宋体" w:cs="宋体"/>
          <w:color w:val="222222"/>
          <w:kern w:val="0"/>
          <w:sz w:val="24"/>
          <w:szCs w:val="24"/>
        </w:rPr>
        <w:t>在相关部门政策引领下，已有相当一部分高校开设了创新创业类课程，并将其纳入学分管理。但部分课程依然是在维持原有专业课程基础上的小修小补，通常表现为以选修课或必修课的形式在专业课程之外增加创新创业的相关课程和内容，而在专业课程中并未真正体现出创新创业的理念与精神。</w:t>
      </w:r>
    </w:p>
    <w:p>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color w:val="222222"/>
          <w:kern w:val="0"/>
          <w:sz w:val="24"/>
          <w:szCs w:val="24"/>
        </w:rPr>
      </w:pPr>
      <w:r>
        <w:rPr>
          <w:rFonts w:hint="eastAsia" w:ascii="宋体" w:hAnsi="宋体" w:eastAsia="宋体" w:cs="宋体"/>
          <w:b/>
          <w:bCs/>
          <w:color w:val="222222"/>
          <w:kern w:val="0"/>
          <w:sz w:val="24"/>
          <w:szCs w:val="24"/>
        </w:rPr>
        <w:t>二是高校创新创业教学方式未能引发专业教学方式的实质性变革。</w:t>
      </w:r>
      <w:r>
        <w:rPr>
          <w:rFonts w:hint="eastAsia" w:ascii="宋体" w:hAnsi="宋体" w:eastAsia="宋体" w:cs="宋体"/>
          <w:color w:val="222222"/>
          <w:kern w:val="0"/>
          <w:sz w:val="24"/>
          <w:szCs w:val="24"/>
        </w:rPr>
        <w:t>由于不少高校专业课教师在教学过程中对创新创业教育理念的认识存在局限性，导致创新创业教学方式未能引发并带动专业教学方式的变革。具体表现为专业课教师在专业知识与专业技能传授过程中，忽视既有学科知识与创新创业思维之间的联系，仍沿袭传统的教学方法或教学模式。</w:t>
      </w:r>
    </w:p>
    <w:p>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color w:val="222222"/>
          <w:kern w:val="0"/>
          <w:sz w:val="24"/>
          <w:szCs w:val="24"/>
        </w:rPr>
      </w:pPr>
      <w:r>
        <w:rPr>
          <w:rFonts w:hint="eastAsia" w:ascii="宋体" w:hAnsi="宋体" w:eastAsia="宋体" w:cs="宋体"/>
          <w:b/>
          <w:bCs/>
          <w:color w:val="222222"/>
          <w:kern w:val="0"/>
          <w:sz w:val="24"/>
          <w:szCs w:val="24"/>
        </w:rPr>
        <w:t>三是许多高校创新创业实践中存在以“项目”替代“教育”的现象。</w:t>
      </w:r>
      <w:r>
        <w:rPr>
          <w:rFonts w:hint="eastAsia" w:ascii="宋体" w:hAnsi="宋体" w:eastAsia="宋体" w:cs="宋体"/>
          <w:color w:val="222222"/>
          <w:kern w:val="0"/>
          <w:sz w:val="24"/>
          <w:szCs w:val="24"/>
        </w:rPr>
        <w:t>无论是在师生层面还是社会层面，人们对创新创业教育都存在着较强的、片面追求创业实际结果的功利化倾向。比如部分高校以“创新创业项目实践”替代“创新创业教育”，这种做法是对创新创业教育的极简化处理，忽视了高校创新创业教育“育人”本真功能的发挥。</w:t>
      </w:r>
    </w:p>
    <w:p>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color w:val="222222"/>
          <w:kern w:val="0"/>
          <w:sz w:val="24"/>
          <w:szCs w:val="24"/>
        </w:rPr>
      </w:pPr>
      <w:r>
        <w:rPr>
          <w:rFonts w:hint="eastAsia" w:ascii="宋体" w:hAnsi="宋体" w:eastAsia="宋体" w:cs="宋体"/>
          <w:b/>
          <w:bCs/>
          <w:color w:val="222222"/>
          <w:kern w:val="0"/>
          <w:sz w:val="24"/>
          <w:szCs w:val="24"/>
        </w:rPr>
        <w:t>“专创融合”的基础在于“创新”</w:t>
      </w:r>
    </w:p>
    <w:p>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高校创新创业教育以大学为依托，不同于社会一般意义上的创业教育或创业培训。大学不仅是传授高等知识、研究高深学问、培养高素质人才的社会组织，同时也是知识密集型与技术密集型组织，这种组织对新知识和新技术要素的依赖大大超过对其他生产要素的依赖。因此，高校创新创业教育要求培养的人重在“创新”，即实现在“创新”基础上的创业，而不是简简单单的“为了创业而创业”。</w:t>
      </w:r>
    </w:p>
    <w:p>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color w:val="222222"/>
          <w:kern w:val="0"/>
          <w:sz w:val="24"/>
          <w:szCs w:val="24"/>
        </w:rPr>
      </w:pPr>
      <w:r>
        <w:rPr>
          <w:rFonts w:hint="eastAsia" w:ascii="宋体" w:hAnsi="宋体" w:eastAsia="宋体" w:cs="宋体"/>
          <w:b/>
          <w:bCs/>
          <w:color w:val="222222"/>
          <w:kern w:val="0"/>
          <w:sz w:val="24"/>
          <w:szCs w:val="24"/>
        </w:rPr>
        <w:t>从本质上讲，高校专业教育中的“创新”与高校创新创业教育中的“创新”作为大学知识属性的两种不同表现形式，前者强调知识的科学属性，后者则更加注重知识的应用属性。</w:t>
      </w:r>
      <w:r>
        <w:rPr>
          <w:rFonts w:hint="eastAsia" w:ascii="宋体" w:hAnsi="宋体" w:eastAsia="宋体" w:cs="宋体"/>
          <w:color w:val="222222"/>
          <w:kern w:val="0"/>
          <w:sz w:val="24"/>
          <w:szCs w:val="24"/>
        </w:rPr>
        <w:t>但科学研究最终还是要落实到解决现实问题的层面，即便是最基础的理论研究也蕴含着向应用转化的可能。由此可见，高校创新创业教育中的“创新”从根本上说需要更多地来源于专业教育。高校创新创业教育与专业教育之间是相辅相成、互为补充的关系，在功能上具有同质性。这种紧密联系也正是两者能够相互融合、共同发展、形成合力的基石，可以说，专业教育是高校创新创业教育的基础，高校创新创业教育是专业教育的升华和进一步深化。如果片面割裂高校创新创业教育与专业教育之间的关系，将会导致创新创业教育游离于专业教育之外，无法凸显其价值。唯有将“创新”作为人才培养的重要指向，切实在专业教育教学实践中培养大学生的创新精神、创业意识、创新创业能力，方能从根本上改变高校创新创业教育脱离于专业教育的现实困境。</w:t>
      </w:r>
    </w:p>
    <w:p>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color w:val="222222"/>
          <w:kern w:val="0"/>
          <w:sz w:val="24"/>
          <w:szCs w:val="24"/>
        </w:rPr>
      </w:pPr>
      <w:r>
        <w:rPr>
          <w:rFonts w:hint="eastAsia" w:ascii="宋体" w:hAnsi="宋体" w:eastAsia="宋体" w:cs="宋体"/>
          <w:b/>
          <w:bCs/>
          <w:color w:val="222222"/>
          <w:kern w:val="0"/>
          <w:sz w:val="24"/>
          <w:szCs w:val="24"/>
        </w:rPr>
        <w:t>“专创融合”应贯穿人才培养全过程</w:t>
      </w:r>
    </w:p>
    <w:p>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高校创新创业教育只有贯穿于专业教育人才培养全过程才能实现二者有效融合。具体来说，应从以下方面予以完善。</w:t>
      </w:r>
    </w:p>
    <w:p>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color w:val="222222"/>
          <w:kern w:val="0"/>
          <w:sz w:val="24"/>
          <w:szCs w:val="24"/>
        </w:rPr>
      </w:pPr>
      <w:r>
        <w:rPr>
          <w:rFonts w:hint="eastAsia" w:ascii="宋体" w:hAnsi="宋体" w:eastAsia="宋体" w:cs="宋体"/>
          <w:b/>
          <w:bCs/>
          <w:color w:val="222222"/>
          <w:kern w:val="0"/>
          <w:sz w:val="24"/>
          <w:szCs w:val="24"/>
        </w:rPr>
        <w:t>首先，厚植积极进取的高校创新创业文化。</w:t>
      </w:r>
      <w:r>
        <w:rPr>
          <w:rFonts w:hint="eastAsia" w:ascii="宋体" w:hAnsi="宋体" w:eastAsia="宋体" w:cs="宋体"/>
          <w:color w:val="222222"/>
          <w:kern w:val="0"/>
          <w:sz w:val="24"/>
          <w:szCs w:val="24"/>
        </w:rPr>
        <w:t>高校创新创业文化是伴随创新创业活动在学校场域的拓展而不断衍生出的奋发向上、寻求突破的校园文化，它肩负着创造新事物、引领新思想的重要使命。高校创新创业文化的塑造亟须把敢于冒险、容忍失败、质疑权威、自己动手的精神作为符合高校组织自身发展的内在规律，并以此为基础打造良好的创新创业氛围。与此同时，高校还需在价值认同、态度取向、利益观念等方面做好充分准备，以应用研究、学术成果转化、市场化生存等方式不断强化高校创新创业意识，激活高校创新创业基因与创新创业动力，全方位提升高校创新创业文化建设效益。</w:t>
      </w:r>
    </w:p>
    <w:p>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color w:val="222222"/>
          <w:kern w:val="0"/>
          <w:sz w:val="24"/>
          <w:szCs w:val="24"/>
        </w:rPr>
      </w:pPr>
      <w:r>
        <w:rPr>
          <w:rFonts w:hint="eastAsia" w:ascii="宋体" w:hAnsi="宋体" w:eastAsia="宋体" w:cs="宋体"/>
          <w:b/>
          <w:bCs/>
          <w:color w:val="222222"/>
          <w:kern w:val="0"/>
          <w:sz w:val="24"/>
          <w:szCs w:val="24"/>
        </w:rPr>
        <w:t>其次，创设灵活多样的高校创新创业教学体系。</w:t>
      </w:r>
      <w:r>
        <w:rPr>
          <w:rFonts w:hint="eastAsia" w:ascii="宋体" w:hAnsi="宋体" w:eastAsia="宋体" w:cs="宋体"/>
          <w:color w:val="222222"/>
          <w:kern w:val="0"/>
          <w:sz w:val="24"/>
          <w:szCs w:val="24"/>
        </w:rPr>
        <w:t>在课程建设上，高校创新创业课程的设计需要综合考虑知识发展的内在逻辑、相关学科的衔接、市场的跟进需要、教学对象的需求等多重因素，基于不同专业的特点以及人才培养目标定位，在专业课程基础上融入创业知识、创业能力、创业意识、创业精神等要素。在教学方式上，高校可以综合采用包括讲授创业案例、传授创新方法、开展企业家讲座等在内的多元化教学方法培养学生的批判性和创造性思维，激发学生的创新创业灵感。在实践活动层面，高校一方面可以依据学院特点与专长，鼓励各院系、研究中心等打造符合自身专业特色的创客空间；另一方面可以加大高校创新创业实践平台改革，通过积极开展依托专业的创新创业实践，鼓励各教学单位组织多种形式的研究性学习与创新性实践活动。</w:t>
      </w:r>
    </w:p>
    <w:p>
      <w:pPr>
        <w:keepNext w:val="0"/>
        <w:keepLines w:val="0"/>
        <w:pageBreakBefore w:val="0"/>
        <w:widowControl/>
        <w:shd w:val="clear" w:color="auto" w:fill="FFFFFF"/>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color w:val="222222"/>
          <w:kern w:val="0"/>
          <w:sz w:val="24"/>
          <w:szCs w:val="24"/>
        </w:rPr>
      </w:pPr>
      <w:r>
        <w:rPr>
          <w:rFonts w:hint="eastAsia" w:ascii="宋体" w:hAnsi="宋体" w:eastAsia="宋体" w:cs="宋体"/>
          <w:b/>
          <w:bCs/>
          <w:color w:val="222222"/>
          <w:kern w:val="0"/>
          <w:sz w:val="24"/>
          <w:szCs w:val="24"/>
        </w:rPr>
        <w:t>再其次，搭建健全完备的高校创新创业支持保障体制。</w:t>
      </w:r>
      <w:r>
        <w:rPr>
          <w:rFonts w:hint="eastAsia" w:ascii="宋体" w:hAnsi="宋体" w:eastAsia="宋体" w:cs="宋体"/>
          <w:color w:val="222222"/>
          <w:kern w:val="0"/>
          <w:sz w:val="24"/>
          <w:szCs w:val="24"/>
        </w:rPr>
        <w:t>高校创新创业教育的实施过程中，离不开作为教学主体的教师与作为工作依托的组织机构的支持。针对当前高校创新创业师资队伍建设中面临的师资严重不足、教师专业胜任力不强、师资培训体系不完备等现实问题，打造以校本师资培训为主、政府师资培训为辅、社会第三方培训机构共同参与的培训体系将成为未来我国高校创新创业师资队伍建设的关键所在。同时，为进一步提升高校创新创业组织机构治理能力，高校应在宏观指导层面健全党政工作领导与规章制度顶层设计，在中观层面推进创新创业组织与政府、企业及其他社会组织的资源对接，在微观层面加强创新创业组织自身资源获取能力、专业服务能力等建设，理顺“高校—政府—企业”三者权责边界，实现高校创新创业组织的良性发展。</w:t>
      </w:r>
    </w:p>
    <w:p>
      <w:pPr>
        <w:keepNext w:val="0"/>
        <w:keepLines w:val="0"/>
        <w:pageBreakBefore w:val="0"/>
        <w:kinsoku/>
        <w:wordWrap/>
        <w:overflowPunct/>
        <w:topLinePunct w:val="0"/>
        <w:autoSpaceDE/>
        <w:autoSpaceDN/>
        <w:bidi w:val="0"/>
        <w:adjustRightInd w:val="0"/>
        <w:snapToGrid w:val="0"/>
        <w:spacing w:line="440" w:lineRule="exact"/>
        <w:ind w:firstLine="422" w:firstLineChars="200"/>
        <w:jc w:val="both"/>
        <w:textAlignment w:val="auto"/>
        <w:rPr>
          <w:rFonts w:hint="eastAsia" w:ascii="楷体_GB2312" w:hAnsi="楷体_GB2312" w:eastAsia="楷体_GB2312" w:cs="楷体_GB2312"/>
          <w:b/>
          <w:bCs/>
          <w:color w:val="222222"/>
          <w:kern w:val="0"/>
          <w:sz w:val="21"/>
          <w:szCs w:val="21"/>
        </w:rPr>
      </w:pPr>
      <w:r>
        <w:rPr>
          <w:rFonts w:hint="eastAsia" w:ascii="楷体_GB2312" w:hAnsi="楷体_GB2312" w:eastAsia="楷体_GB2312" w:cs="楷体_GB2312"/>
          <w:b/>
          <w:bCs/>
          <w:color w:val="222222"/>
          <w:kern w:val="0"/>
          <w:sz w:val="21"/>
          <w:szCs w:val="21"/>
        </w:rPr>
        <w:t>（作者</w:t>
      </w:r>
      <w:r>
        <w:rPr>
          <w:rFonts w:hint="eastAsia" w:ascii="楷体_GB2312" w:hAnsi="楷体_GB2312" w:eastAsia="楷体_GB2312" w:cs="楷体_GB2312"/>
          <w:b/>
          <w:bCs/>
          <w:color w:val="222222"/>
          <w:kern w:val="0"/>
          <w:sz w:val="21"/>
          <w:szCs w:val="21"/>
          <w:lang w:eastAsia="zh-CN"/>
        </w:rPr>
        <w:t>：</w:t>
      </w:r>
      <w:r>
        <w:rPr>
          <w:rFonts w:hint="eastAsia" w:ascii="楷体_GB2312" w:hAnsi="楷体_GB2312" w:eastAsia="楷体_GB2312" w:cs="楷体_GB2312"/>
          <w:b/>
          <w:bCs/>
          <w:color w:val="222222"/>
          <w:kern w:val="0"/>
          <w:sz w:val="21"/>
          <w:szCs w:val="21"/>
        </w:rPr>
        <w:t>刘文杰</w:t>
      </w:r>
      <w:r>
        <w:rPr>
          <w:rFonts w:hint="eastAsia" w:ascii="楷体_GB2312" w:hAnsi="楷体_GB2312" w:eastAsia="楷体_GB2312" w:cs="楷体_GB2312"/>
          <w:b/>
          <w:bCs/>
          <w:color w:val="222222"/>
          <w:kern w:val="0"/>
          <w:sz w:val="21"/>
          <w:szCs w:val="21"/>
          <w:lang w:eastAsia="zh-CN"/>
        </w:rPr>
        <w:t>，</w:t>
      </w:r>
      <w:r>
        <w:rPr>
          <w:rFonts w:hint="eastAsia" w:ascii="楷体_GB2312" w:hAnsi="楷体_GB2312" w:eastAsia="楷体_GB2312" w:cs="楷体_GB2312"/>
          <w:b/>
          <w:bCs/>
          <w:color w:val="222222"/>
          <w:kern w:val="0"/>
          <w:sz w:val="21"/>
          <w:szCs w:val="21"/>
        </w:rPr>
        <w:t>杭州师范大学经亨颐教育学院讲师</w:t>
      </w:r>
      <w:r>
        <w:rPr>
          <w:rFonts w:hint="eastAsia" w:ascii="楷体_GB2312" w:hAnsi="楷体_GB2312" w:eastAsia="楷体_GB2312" w:cs="楷体_GB2312"/>
          <w:b/>
          <w:bCs/>
          <w:color w:val="222222"/>
          <w:kern w:val="0"/>
          <w:sz w:val="21"/>
          <w:szCs w:val="21"/>
          <w:lang w:eastAsia="zh-CN"/>
        </w:rPr>
        <w:t>；</w:t>
      </w:r>
      <w:r>
        <w:rPr>
          <w:rFonts w:hint="eastAsia" w:ascii="楷体_GB2312" w:hAnsi="楷体_GB2312" w:eastAsia="楷体_GB2312" w:cs="楷体_GB2312"/>
          <w:b/>
          <w:bCs/>
          <w:color w:val="222222"/>
          <w:kern w:val="0"/>
          <w:sz w:val="21"/>
          <w:szCs w:val="21"/>
        </w:rPr>
        <w:t>张彦通</w:t>
      </w:r>
      <w:r>
        <w:rPr>
          <w:rFonts w:hint="eastAsia" w:ascii="楷体_GB2312" w:hAnsi="楷体_GB2312" w:eastAsia="楷体_GB2312" w:cs="楷体_GB2312"/>
          <w:b/>
          <w:bCs/>
          <w:color w:val="222222"/>
          <w:kern w:val="0"/>
          <w:sz w:val="21"/>
          <w:szCs w:val="21"/>
          <w:lang w:eastAsia="zh-CN"/>
        </w:rPr>
        <w:t>，</w:t>
      </w:r>
      <w:r>
        <w:rPr>
          <w:rFonts w:hint="eastAsia" w:ascii="楷体_GB2312" w:hAnsi="楷体_GB2312" w:eastAsia="楷体_GB2312" w:cs="楷体_GB2312"/>
          <w:b/>
          <w:bCs/>
          <w:color w:val="222222"/>
          <w:kern w:val="0"/>
          <w:sz w:val="21"/>
          <w:szCs w:val="21"/>
        </w:rPr>
        <w:t>国务院参事室副主任、博士生导师。本文系国家社会科学基金重点课题“数字时代大学生就业创业能力的提升机制研究”[21ASH008]成果）</w:t>
      </w:r>
    </w:p>
    <w:p>
      <w:pPr>
        <w:pStyle w:val="4"/>
        <w:pageBreakBefore w:val="0"/>
        <w:widowControl w:val="0"/>
        <w:kinsoku/>
        <w:wordWrap/>
        <w:overflowPunct/>
        <w:topLinePunct w:val="0"/>
        <w:autoSpaceDE/>
        <w:autoSpaceDN/>
        <w:bidi w:val="0"/>
        <w:adjustRightInd/>
        <w:snapToGrid/>
        <w:spacing w:line="440" w:lineRule="exact"/>
        <w:ind w:left="0" w:leftChars="0"/>
        <w:textAlignment w:val="auto"/>
        <w:rPr>
          <w:rFonts w:hint="eastAsia"/>
          <w:sz w:val="32"/>
          <w:szCs w:val="32"/>
        </w:rPr>
      </w:pPr>
    </w:p>
    <w:p>
      <w:pPr>
        <w:rPr>
          <w:rFonts w:hint="eastAsia" w:ascii="黑体" w:hAnsi="黑体" w:eastAsia="黑体" w:cs="黑体"/>
          <w:b/>
          <w:bCs/>
          <w:sz w:val="32"/>
          <w:szCs w:val="32"/>
        </w:rPr>
      </w:pPr>
      <w:bookmarkStart w:id="15" w:name="_Toc4017"/>
      <w:bookmarkStart w:id="16" w:name="_Toc16765"/>
      <w:r>
        <w:rPr>
          <w:rFonts w:hint="eastAsia" w:ascii="黑体" w:hAnsi="黑体" w:eastAsia="黑体" w:cs="黑体"/>
          <w:b/>
          <w:bCs/>
          <w:sz w:val="32"/>
          <w:szCs w:val="32"/>
        </w:rPr>
        <w:br w:type="page"/>
      </w:r>
    </w:p>
    <w:p>
      <w:pPr>
        <w:rPr>
          <w:rFonts w:hint="eastAsia" w:ascii="黑体" w:hAnsi="黑体" w:eastAsia="黑体" w:cs="黑体"/>
          <w:b/>
          <w:bCs/>
          <w:sz w:val="32"/>
          <w:szCs w:val="32"/>
        </w:rPr>
      </w:pPr>
      <w:r>
        <w:rPr>
          <w:rFonts w:hint="eastAsia" w:ascii="黑体" w:hAnsi="黑体" w:eastAsia="黑体" w:cs="黑体"/>
          <w:b/>
          <w:bCs/>
          <w:sz w:val="32"/>
          <w:szCs w:val="32"/>
        </w:rPr>
        <w:t>【</w:t>
      </w:r>
      <w:r>
        <w:rPr>
          <w:rFonts w:hint="eastAsia" w:ascii="黑体" w:hAnsi="黑体" w:eastAsia="黑体" w:cs="黑体"/>
          <w:b/>
          <w:bCs/>
          <w:sz w:val="32"/>
          <w:szCs w:val="32"/>
          <w:lang w:eastAsia="zh-CN"/>
        </w:rPr>
        <w:t>他山之石</w:t>
      </w:r>
      <w:r>
        <w:rPr>
          <w:rFonts w:hint="eastAsia" w:ascii="黑体" w:hAnsi="黑体" w:eastAsia="黑体" w:cs="黑体"/>
          <w:b/>
          <w:bCs/>
          <w:sz w:val="32"/>
          <w:szCs w:val="32"/>
        </w:rPr>
        <w:t>】</w:t>
      </w:r>
      <w:bookmarkEnd w:id="15"/>
    </w:p>
    <w:p>
      <w:pPr>
        <w:pStyle w:val="4"/>
        <w:pageBreakBefore w:val="0"/>
        <w:widowControl w:val="0"/>
        <w:kinsoku/>
        <w:wordWrap/>
        <w:overflowPunct/>
        <w:topLinePunct w:val="0"/>
        <w:autoSpaceDE/>
        <w:autoSpaceDN/>
        <w:bidi w:val="0"/>
        <w:adjustRightInd/>
        <w:snapToGrid/>
        <w:spacing w:line="440" w:lineRule="exact"/>
        <w:ind w:left="0" w:leftChars="0"/>
        <w:textAlignment w:val="auto"/>
        <w:rPr>
          <w:rFonts w:hint="eastAsia"/>
          <w:sz w:val="32"/>
          <w:szCs w:val="32"/>
        </w:rPr>
      </w:pPr>
    </w:p>
    <w:p>
      <w:pPr>
        <w:pStyle w:val="4"/>
        <w:pageBreakBefore w:val="0"/>
        <w:widowControl w:val="0"/>
        <w:kinsoku/>
        <w:wordWrap/>
        <w:overflowPunct/>
        <w:topLinePunct w:val="0"/>
        <w:autoSpaceDE/>
        <w:autoSpaceDN/>
        <w:bidi w:val="0"/>
        <w:adjustRightInd/>
        <w:snapToGrid/>
        <w:spacing w:line="440" w:lineRule="exact"/>
        <w:ind w:left="0" w:leftChars="0"/>
        <w:textAlignment w:val="auto"/>
        <w:rPr>
          <w:rFonts w:hint="eastAsia"/>
          <w:sz w:val="32"/>
          <w:szCs w:val="32"/>
        </w:rPr>
      </w:pPr>
      <w:bookmarkStart w:id="17" w:name="_Toc6678"/>
      <w:r>
        <w:rPr>
          <w:rFonts w:hint="eastAsia"/>
          <w:sz w:val="32"/>
          <w:szCs w:val="32"/>
        </w:rPr>
        <w:t>中国地质大学（武汉）</w:t>
      </w:r>
      <w:r>
        <w:rPr>
          <w:rFonts w:hint="eastAsia"/>
          <w:sz w:val="32"/>
          <w:szCs w:val="32"/>
          <w:lang w:eastAsia="zh-CN"/>
        </w:rPr>
        <w:t>：</w:t>
      </w:r>
      <w:r>
        <w:rPr>
          <w:rFonts w:hint="eastAsia"/>
          <w:sz w:val="32"/>
          <w:szCs w:val="32"/>
        </w:rPr>
        <w:t>持续深化教师评价改革</w:t>
      </w:r>
      <w:bookmarkEnd w:id="16"/>
      <w:bookmarkEnd w:id="17"/>
    </w:p>
    <w:p>
      <w:pPr>
        <w:pageBreakBefore w:val="0"/>
        <w:widowControl w:val="0"/>
        <w:kinsoku/>
        <w:wordWrap/>
        <w:overflowPunct/>
        <w:topLinePunct w:val="0"/>
        <w:autoSpaceDE/>
        <w:autoSpaceDN/>
        <w:bidi w:val="0"/>
        <w:adjustRightInd/>
        <w:snapToGrid/>
        <w:spacing w:line="440" w:lineRule="exact"/>
        <w:textAlignment w:val="auto"/>
        <w:rPr>
          <w:rFonts w:hint="eastAsia"/>
        </w:rPr>
      </w:pPr>
    </w:p>
    <w:p>
      <w:pPr>
        <w:keepNext w:val="0"/>
        <w:keepLines w:val="0"/>
        <w:pageBreakBefore w:val="0"/>
        <w:widowControl w:val="0"/>
        <w:kinsoku/>
        <w:wordWrap/>
        <w:overflowPunct/>
        <w:topLinePunct w:val="0"/>
        <w:autoSpaceDE/>
        <w:autoSpaceDN/>
        <w:bidi w:val="0"/>
        <w:spacing w:line="440" w:lineRule="exact"/>
        <w:ind w:firstLine="0" w:firstLineChars="0"/>
        <w:textAlignment w:val="auto"/>
        <w:rPr>
          <w:rFonts w:hint="eastAsia" w:ascii="楷体" w:hAnsi="楷体" w:eastAsia="楷体" w:cs="楷体"/>
          <w:color w:val="000000" w:themeColor="text1"/>
          <w:kern w:val="0"/>
          <w:sz w:val="24"/>
          <w:szCs w:val="24"/>
          <w:lang w:val="en-US" w:eastAsia="zh-CN" w:bidi="ar-SA"/>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推荐人：</w:t>
      </w:r>
      <w:r>
        <w:rPr>
          <w:rFonts w:hint="eastAsia" w:ascii="楷体" w:hAnsi="楷体" w:eastAsia="楷体" w:cs="楷体"/>
          <w:color w:val="000000" w:themeColor="text1"/>
          <w:kern w:val="0"/>
          <w:sz w:val="24"/>
          <w:szCs w:val="24"/>
          <w:lang w:val="en-US" w:eastAsia="zh-CN" w:bidi="ar-SA"/>
          <w14:textFill>
            <w14:solidFill>
              <w14:schemeClr w14:val="tx1"/>
            </w14:solidFill>
          </w14:textFill>
        </w:rPr>
        <w:t>彭金星</w:t>
      </w:r>
    </w:p>
    <w:p>
      <w:pPr>
        <w:keepNext w:val="0"/>
        <w:keepLines w:val="0"/>
        <w:pageBreakBefore w:val="0"/>
        <w:widowControl w:val="0"/>
        <w:kinsoku/>
        <w:wordWrap/>
        <w:overflowPunct/>
        <w:topLinePunct w:val="0"/>
        <w:autoSpaceDE/>
        <w:autoSpaceDN/>
        <w:bidi w:val="0"/>
        <w:spacing w:line="440" w:lineRule="exact"/>
        <w:ind w:firstLine="0" w:firstLineChars="0"/>
        <w:textAlignment w:val="auto"/>
        <w:rPr>
          <w:rFonts w:hint="eastAsia" w:ascii="楷体" w:hAnsi="楷体" w:eastAsia="楷体" w:cs="楷体"/>
          <w:color w:val="000000" w:themeColor="text1"/>
          <w:kern w:val="0"/>
          <w:sz w:val="24"/>
          <w:szCs w:val="24"/>
          <w:lang w:val="en-US" w:eastAsia="zh-CN" w:bidi="ar-SA"/>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推荐单位：</w:t>
      </w:r>
      <w:r>
        <w:rPr>
          <w:rFonts w:hint="eastAsia" w:ascii="楷体" w:hAnsi="楷体" w:eastAsia="楷体" w:cs="楷体"/>
          <w:color w:val="000000" w:themeColor="text1"/>
          <w:kern w:val="0"/>
          <w:sz w:val="24"/>
          <w:szCs w:val="24"/>
          <w:lang w:val="zh-CN" w:eastAsia="zh-CN" w:bidi="ar-SA"/>
          <w14:textFill>
            <w14:solidFill>
              <w14:schemeClr w14:val="tx1"/>
            </w14:solidFill>
          </w14:textFill>
        </w:rPr>
        <w:t>人事处</w:t>
      </w:r>
      <w:r>
        <w:rPr>
          <w:rFonts w:hint="eastAsia" w:ascii="楷体" w:hAnsi="楷体" w:eastAsia="楷体" w:cs="楷体"/>
          <w:color w:val="000000" w:themeColor="text1"/>
          <w:kern w:val="0"/>
          <w:sz w:val="24"/>
          <w:szCs w:val="24"/>
          <w:lang w:val="en-US" w:eastAsia="zh-CN" w:bidi="ar-SA"/>
          <w14:textFill>
            <w14:solidFill>
              <w14:schemeClr w14:val="tx1"/>
            </w14:solidFill>
          </w14:textFill>
        </w:rPr>
        <w:t>/培训处（教师发展中心）</w:t>
      </w:r>
    </w:p>
    <w:p>
      <w:pPr>
        <w:keepNext w:val="0"/>
        <w:keepLines w:val="0"/>
        <w:pageBreakBefore w:val="0"/>
        <w:widowControl w:val="0"/>
        <w:kinsoku/>
        <w:wordWrap/>
        <w:overflowPunct/>
        <w:topLinePunct w:val="0"/>
        <w:autoSpaceDE/>
        <w:autoSpaceDN/>
        <w:bidi w:val="0"/>
        <w:spacing w:line="440" w:lineRule="exact"/>
        <w:ind w:firstLine="0" w:firstLineChars="0"/>
        <w:textAlignment w:val="auto"/>
        <w:rPr>
          <w:rFonts w:hint="eastAsia" w:ascii="楷体" w:hAnsi="楷体" w:eastAsia="楷体" w:cs="楷体"/>
          <w:color w:val="000000" w:themeColor="text1"/>
          <w:kern w:val="0"/>
          <w:sz w:val="24"/>
          <w:szCs w:val="24"/>
          <w:lang w:val="en-US" w:eastAsia="zh-CN" w:bidi="ar-SA"/>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推荐审核人：</w:t>
      </w:r>
      <w:r>
        <w:rPr>
          <w:rFonts w:hint="eastAsia" w:ascii="楷体" w:hAnsi="楷体" w:eastAsia="楷体" w:cs="楷体"/>
          <w:color w:val="000000" w:themeColor="text1"/>
          <w:kern w:val="0"/>
          <w:sz w:val="24"/>
          <w:szCs w:val="24"/>
          <w:lang w:val="en-US" w:eastAsia="zh-CN" w:bidi="ar-SA"/>
          <w14:textFill>
            <w14:solidFill>
              <w14:schemeClr w14:val="tx1"/>
            </w14:solidFill>
          </w14:textFill>
        </w:rPr>
        <w:t>李付宝</w:t>
      </w:r>
    </w:p>
    <w:p>
      <w:pPr>
        <w:pStyle w:val="14"/>
        <w:keepNext w:val="0"/>
        <w:keepLines w:val="0"/>
        <w:pageBreakBefore w:val="0"/>
        <w:widowControl w:val="0"/>
        <w:kinsoku/>
        <w:wordWrap/>
        <w:overflowPunct/>
        <w:topLinePunct w:val="0"/>
        <w:autoSpaceDE/>
        <w:autoSpaceDN/>
        <w:bidi w:val="0"/>
        <w:spacing w:line="440" w:lineRule="exact"/>
        <w:ind w:firstLine="0" w:firstLineChars="0"/>
        <w:jc w:val="left"/>
        <w:textAlignment w:val="auto"/>
        <w:rPr>
          <w:rFonts w:hint="eastAsia" w:ascii="楷体" w:hAnsi="楷体" w:eastAsia="楷体" w:cs="楷体"/>
          <w:color w:val="000000" w:themeColor="text1"/>
          <w:kern w:val="0"/>
          <w:sz w:val="24"/>
          <w:szCs w:val="24"/>
          <w:lang w:val="en-US" w:eastAsia="zh-CN" w:bidi="ar-SA"/>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推荐理由或点评：</w:t>
      </w:r>
      <w:r>
        <w:rPr>
          <w:rFonts w:hint="eastAsia" w:ascii="楷体" w:hAnsi="楷体" w:eastAsia="楷体" w:cs="楷体"/>
          <w:color w:val="000000" w:themeColor="text1"/>
          <w:kern w:val="0"/>
          <w:sz w:val="24"/>
          <w:szCs w:val="24"/>
          <w:lang w:val="en-US" w:eastAsia="zh-CN" w:bidi="ar-SA"/>
          <w14:textFill>
            <w14:solidFill>
              <w14:schemeClr w14:val="tx1"/>
            </w14:solidFill>
          </w14:textFill>
        </w:rPr>
        <w:t>如何深入推进教师评价制度改革是新时代教育工作的一个重点课题，中国地质大学（武汉）打出的一系列组合拳值得我们学习借鉴，有着重要的参考意义。</w:t>
      </w:r>
    </w:p>
    <w:p>
      <w:pPr>
        <w:keepNext w:val="0"/>
        <w:keepLines w:val="0"/>
        <w:pageBreakBefore w:val="0"/>
        <w:widowControl w:val="0"/>
        <w:kinsoku/>
        <w:wordWrap/>
        <w:overflowPunct/>
        <w:topLinePunct w:val="0"/>
        <w:autoSpaceDE/>
        <w:autoSpaceDN/>
        <w:bidi w:val="0"/>
        <w:spacing w:line="440" w:lineRule="exact"/>
        <w:ind w:firstLine="0" w:firstLineChars="0"/>
        <w:textAlignment w:val="auto"/>
        <w:rPr>
          <w:rFonts w:hint="eastAsia" w:ascii="楷体" w:hAnsi="楷体" w:eastAsia="楷体" w:cs="楷体"/>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来源：</w:t>
      </w:r>
      <w:r>
        <w:rPr>
          <w:rFonts w:hint="eastAsia" w:ascii="楷体" w:hAnsi="楷体" w:eastAsia="楷体" w:cs="楷体"/>
          <w:color w:val="000000" w:themeColor="text1"/>
          <w:kern w:val="0"/>
          <w:sz w:val="24"/>
          <w:szCs w:val="24"/>
          <w:lang w:val="zh-CN" w:eastAsia="zh-CN" w:bidi="ar-SA"/>
          <w14:textFill>
            <w14:solidFill>
              <w14:schemeClr w14:val="tx1"/>
            </w14:solidFill>
          </w14:textFill>
        </w:rPr>
        <w:t>教育部新闻网</w:t>
      </w:r>
    </w:p>
    <w:p>
      <w:pPr>
        <w:keepNext w:val="0"/>
        <w:keepLines w:val="0"/>
        <w:pageBreakBefore w:val="0"/>
        <w:widowControl w:val="0"/>
        <w:kinsoku/>
        <w:wordWrap/>
        <w:overflowPunct/>
        <w:topLinePunct w:val="0"/>
        <w:autoSpaceDE/>
        <w:autoSpaceDN/>
        <w:bidi w:val="0"/>
        <w:spacing w:line="440" w:lineRule="exact"/>
        <w:ind w:firstLine="0" w:firstLineChars="0"/>
        <w:textAlignment w:val="auto"/>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网址：</w:t>
      </w:r>
    </w:p>
    <w:p>
      <w:pPr>
        <w:keepNext w:val="0"/>
        <w:keepLines w:val="0"/>
        <w:pageBreakBefore w:val="0"/>
        <w:widowControl w:val="0"/>
        <w:kinsoku/>
        <w:wordWrap/>
        <w:overflowPunct/>
        <w:topLinePunct w:val="0"/>
        <w:autoSpaceDE/>
        <w:autoSpaceDN/>
        <w:bidi w:val="0"/>
        <w:spacing w:line="440" w:lineRule="exact"/>
        <w:ind w:firstLine="0" w:firstLineChars="0"/>
        <w:textAlignment w:val="auto"/>
        <w:rPr>
          <w:rFonts w:hint="eastAsia" w:ascii="楷体" w:hAnsi="楷体" w:eastAsia="楷体" w:cs="楷体"/>
          <w:color w:val="auto"/>
          <w:u w:val="none"/>
        </w:rPr>
      </w:pPr>
      <w:r>
        <w:rPr>
          <w:rFonts w:hint="eastAsia" w:ascii="楷体" w:hAnsi="楷体" w:eastAsia="楷体" w:cs="楷体"/>
          <w:color w:val="auto"/>
          <w:u w:val="none"/>
        </w:rPr>
        <w:fldChar w:fldCharType="begin"/>
      </w:r>
      <w:r>
        <w:rPr>
          <w:rFonts w:hint="eastAsia" w:ascii="楷体" w:hAnsi="楷体" w:eastAsia="楷体" w:cs="楷体"/>
          <w:color w:val="auto"/>
          <w:u w:val="none"/>
        </w:rPr>
        <w:instrText xml:space="preserve"> HYPERLINK "http://www.moe.gov.cn/jyb_xwfb/s6192/s133/s198/202202/t20220228_602958.html" </w:instrText>
      </w:r>
      <w:r>
        <w:rPr>
          <w:rFonts w:hint="eastAsia" w:ascii="楷体" w:hAnsi="楷体" w:eastAsia="楷体" w:cs="楷体"/>
          <w:color w:val="auto"/>
          <w:u w:val="none"/>
        </w:rPr>
        <w:fldChar w:fldCharType="separate"/>
      </w:r>
      <w:r>
        <w:rPr>
          <w:rStyle w:val="13"/>
          <w:rFonts w:hint="eastAsia" w:ascii="楷体" w:hAnsi="楷体" w:eastAsia="楷体" w:cs="楷体"/>
          <w:color w:val="auto"/>
          <w:u w:val="none"/>
        </w:rPr>
        <w:t>http://www.moe.gov.cn/jyb_xwfb/s6192/s133/s198/202202/t20220228_602958.html</w:t>
      </w:r>
      <w:r>
        <w:rPr>
          <w:rFonts w:hint="eastAsia" w:ascii="楷体" w:hAnsi="楷体" w:eastAsia="楷体" w:cs="楷体"/>
          <w:color w:val="auto"/>
          <w:u w:val="none"/>
        </w:rPr>
        <w:fldChar w:fldCharType="end"/>
      </w:r>
    </w:p>
    <w:p>
      <w:pPr>
        <w:keepNext w:val="0"/>
        <w:keepLines w:val="0"/>
        <w:pageBreakBefore w:val="0"/>
        <w:widowControl w:val="0"/>
        <w:kinsoku/>
        <w:wordWrap/>
        <w:overflowPunct/>
        <w:topLinePunct w:val="0"/>
        <w:autoSpaceDE/>
        <w:autoSpaceDN/>
        <w:bidi w:val="0"/>
        <w:spacing w:line="440" w:lineRule="exact"/>
        <w:ind w:firstLine="0" w:firstLineChars="0"/>
        <w:textAlignment w:val="auto"/>
        <w:rPr>
          <w:rFonts w:hint="eastAsia" w:ascii="楷体" w:hAnsi="楷体" w:eastAsia="楷体" w:cs="楷体"/>
          <w:bCs/>
          <w:color w:val="000000" w:themeColor="text1"/>
          <w:sz w:val="24"/>
          <w:lang w:val="en-US" w:eastAsia="zh-CN"/>
          <w14:textFill>
            <w14:solidFill>
              <w14:schemeClr w14:val="tx1"/>
            </w14:solidFill>
          </w14:textFill>
        </w:rPr>
      </w:pPr>
      <w:r>
        <w:rPr>
          <w:rFonts w:hint="eastAsia" w:ascii="楷体" w:hAnsi="楷体" w:eastAsia="楷体" w:cs="楷体"/>
          <w:b/>
          <w:bCs w:val="0"/>
          <w:color w:val="000000" w:themeColor="text1"/>
          <w:sz w:val="24"/>
          <w:lang w:eastAsia="zh-CN"/>
          <w14:textFill>
            <w14:solidFill>
              <w14:schemeClr w14:val="tx1"/>
            </w14:solidFill>
          </w14:textFill>
        </w:rPr>
        <w:t>本文发表时间：</w:t>
      </w:r>
      <w:r>
        <w:rPr>
          <w:rFonts w:hint="eastAsia" w:ascii="楷体" w:hAnsi="楷体" w:eastAsia="楷体" w:cs="楷体"/>
          <w:bCs/>
          <w:color w:val="000000" w:themeColor="text1"/>
          <w:sz w:val="24"/>
          <w:lang w:val="en-US" w:eastAsia="zh-CN"/>
          <w14:textFill>
            <w14:solidFill>
              <w14:schemeClr w14:val="tx1"/>
            </w14:solidFill>
          </w14:textFill>
        </w:rPr>
        <w:t>2022年2月28日</w:t>
      </w:r>
    </w:p>
    <w:p>
      <w:pPr>
        <w:keepNext w:val="0"/>
        <w:keepLines w:val="0"/>
        <w:pageBreakBefore w:val="0"/>
        <w:widowControl w:val="0"/>
        <w:kinsoku/>
        <w:wordWrap/>
        <w:overflowPunct/>
        <w:topLinePunct w:val="0"/>
        <w:autoSpaceDE/>
        <w:autoSpaceDN/>
        <w:bidi w:val="0"/>
        <w:spacing w:line="440" w:lineRule="exact"/>
        <w:ind w:firstLine="0" w:firstLineChars="0"/>
        <w:textAlignment w:val="auto"/>
        <w:rPr>
          <w:rFonts w:hint="eastAsia" w:ascii="楷体" w:hAnsi="楷体" w:eastAsia="楷体" w:cs="楷体"/>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本文推荐时间：</w:t>
      </w:r>
      <w:r>
        <w:rPr>
          <w:rFonts w:hint="eastAsia" w:ascii="楷体" w:hAnsi="楷体" w:eastAsia="楷体" w:cs="楷体"/>
          <w:bCs/>
          <w:color w:val="000000" w:themeColor="text1"/>
          <w:sz w:val="24"/>
          <w14:textFill>
            <w14:solidFill>
              <w14:schemeClr w14:val="tx1"/>
            </w14:solidFill>
          </w14:textFill>
        </w:rPr>
        <w:t>2022年</w:t>
      </w:r>
      <w:r>
        <w:rPr>
          <w:rFonts w:hint="eastAsia" w:ascii="楷体" w:hAnsi="楷体" w:eastAsia="楷体" w:cs="楷体"/>
          <w:bCs/>
          <w:color w:val="000000" w:themeColor="text1"/>
          <w:sz w:val="24"/>
          <w:lang w:val="en-US" w:eastAsia="zh-CN"/>
          <w14:textFill>
            <w14:solidFill>
              <w14:schemeClr w14:val="tx1"/>
            </w14:solidFill>
          </w14:textFill>
        </w:rPr>
        <w:t>3</w:t>
      </w:r>
      <w:r>
        <w:rPr>
          <w:rFonts w:hint="eastAsia" w:ascii="楷体" w:hAnsi="楷体" w:eastAsia="楷体" w:cs="楷体"/>
          <w:bCs/>
          <w:color w:val="000000" w:themeColor="text1"/>
          <w:sz w:val="24"/>
          <w14:textFill>
            <w14:solidFill>
              <w14:schemeClr w14:val="tx1"/>
            </w14:solidFill>
          </w14:textFill>
        </w:rPr>
        <w:t>月</w:t>
      </w:r>
      <w:r>
        <w:rPr>
          <w:rFonts w:hint="eastAsia" w:ascii="楷体" w:hAnsi="楷体" w:eastAsia="楷体" w:cs="楷体"/>
          <w:bCs/>
          <w:color w:val="000000" w:themeColor="text1"/>
          <w:sz w:val="24"/>
          <w:lang w:val="en-US" w:eastAsia="zh-CN"/>
          <w14:textFill>
            <w14:solidFill>
              <w14:schemeClr w14:val="tx1"/>
            </w14:solidFill>
          </w14:textFill>
        </w:rPr>
        <w:t>7</w:t>
      </w:r>
      <w:r>
        <w:rPr>
          <w:rFonts w:hint="eastAsia" w:ascii="楷体" w:hAnsi="楷体" w:eastAsia="楷体" w:cs="楷体"/>
          <w:bCs/>
          <w:color w:val="000000" w:themeColor="text1"/>
          <w:sz w:val="24"/>
          <w14:textFill>
            <w14:solidFill>
              <w14:schemeClr w14:val="tx1"/>
            </w14:solidFill>
          </w14:textFill>
        </w:rPr>
        <w:t>日</w:t>
      </w:r>
    </w:p>
    <w:p>
      <w:pPr>
        <w:pStyle w:val="2"/>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中国地质大学（武汉）认真学习贯彻习近平总书记关于教育的重要论述和全国教育大会精神，深入落实党中央、国务院关于深化新时代教育评价改革的部署要求，落实立德树人根本任务，坚持把师德师风作为第一标准，突出教育教学实绩，引导树立科研评价的质量和贡献导向，深入推进教师评价改革，充分激发教师队伍创造力，不断提升人才培养质量和水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b/>
          <w:bCs/>
          <w:kern w:val="0"/>
          <w:sz w:val="24"/>
          <w:szCs w:val="24"/>
          <w:lang w:val="en-US" w:eastAsia="zh-CN" w:bidi="ar-SA"/>
        </w:rPr>
        <w:t>坚持师德师风第一标准。</w:t>
      </w:r>
      <w:r>
        <w:rPr>
          <w:rFonts w:hint="eastAsia" w:ascii="宋体" w:hAnsi="宋体" w:eastAsia="宋体" w:cs="宋体"/>
          <w:kern w:val="0"/>
          <w:sz w:val="24"/>
          <w:szCs w:val="24"/>
          <w:lang w:val="en-US" w:eastAsia="zh-CN" w:bidi="ar-SA"/>
        </w:rPr>
        <w:t>制定《建立健全师德师风长效机制实施办法》，修订《岗位设置管理实施方案》《“地大学者”岗位管理办法》，坚决克服重科研轻教学、重教书轻育人等现象，把师德表现作为教师业绩考核、职称评聘、评优奖励的首要标准，坚决落实“一票否决制”。强化教师思想政治素质考核，充分发挥学校党委教师工作部、学院党委、基层党支部在岗位聘用中的作用，对教师师德师风情况进行描述性（定性）评价，推动师德师风建设常态化、长效化。印发《师德教育专题实施方案》，持续开展师德师风宣传教育月活动。发挥师德先进典型示范引领作用，出台《“师德标兵”“师德模范”评选表彰暂行办法》，组织开展“研究生的良师益友”“最美地大教工”等先进典型评选，近年来，先后涌现出“全国优秀教师”“全国最美教师”“全国高校黄大年式教师团队”等一批优秀教师。</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b/>
          <w:bCs/>
          <w:kern w:val="0"/>
          <w:sz w:val="24"/>
          <w:szCs w:val="24"/>
          <w:lang w:val="en-US" w:eastAsia="zh-CN" w:bidi="ar-SA"/>
        </w:rPr>
        <w:t>强化教书育人职责使命。</w:t>
      </w:r>
      <w:r>
        <w:rPr>
          <w:rFonts w:hint="eastAsia" w:ascii="宋体" w:hAnsi="宋体" w:eastAsia="宋体" w:cs="宋体"/>
          <w:kern w:val="0"/>
          <w:sz w:val="24"/>
          <w:szCs w:val="24"/>
          <w:lang w:val="en-US" w:eastAsia="zh-CN" w:bidi="ar-SA"/>
        </w:rPr>
        <w:t>制定《关于进一步深化改革实施意见》，启动学校新一轮综合改革，突出将立德树人成效作为检验学校一切工作的根本标准。严格执行教授为本科生授课制度，明确教授承担本科生教学最低课时要求。完善教师工作量核定标准，把参与教研活动，编写教材案例，指导学生毕业设计、就业、创新创业、社会实践、社团活动、竞赛展演等计入工作量。优化教师课堂教学评价，建立学生评价、督导评价、同行评价“三位一体”评价机制，引导教师上好每一节课。弘扬“严在地大”优良教风，课堂教学排名未达到前40%的教学型教师以及课堂教学排名未达到前50%的研究型教师不得晋升职称。</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b/>
          <w:bCs/>
          <w:kern w:val="0"/>
          <w:sz w:val="24"/>
          <w:szCs w:val="24"/>
          <w:lang w:val="en-US" w:eastAsia="zh-CN" w:bidi="ar-SA"/>
        </w:rPr>
        <w:t>突出科研评价质量导向。</w:t>
      </w:r>
      <w:r>
        <w:rPr>
          <w:rFonts w:hint="eastAsia" w:ascii="宋体" w:hAnsi="宋体" w:eastAsia="宋体" w:cs="宋体"/>
          <w:kern w:val="0"/>
          <w:sz w:val="24"/>
          <w:szCs w:val="24"/>
          <w:lang w:val="en-US" w:eastAsia="zh-CN" w:bidi="ar-SA"/>
        </w:rPr>
        <w:t>制定《教职工激励约束机制改革方案》，坚决破除“五唯”，不将人才称号、论文数量、项目经费等与学术资源配置、绩效工资分配等简单挂钩。根据不同学科、不同岗位特点，实施分类评价，单独制定思想政治理论课教师、专职科研人员、成果转化和社会服务人员等系列岗位的聘用条件和评价标准。完善同行专家评议机制，对现有考核评价指标中未涉及或无法直接判定的科研成果，由学校学术委员会或其下设的专门委员会研究认定。坚持贡献为要，引导教师积极为经济社会发展作出实质性贡献，对取得重大理论创新成果、实现前沿技术突破、解决重大工程技术难题等在经济社会事业发展中作出重大贡献的教师，在考核和职称晋升中，经学校岗位聘用领导小组认定通过后，可对论文不作限制性要求。推行代表性成果评价，重点评价学术贡献，探索建立长周期评价和团队评价的长效机制，引导教师静心研究，产出更多高质量科研成果。</w:t>
      </w:r>
    </w:p>
    <w:p>
      <w:pPr>
        <w:pStyle w:val="2"/>
        <w:keepNext w:val="0"/>
        <w:keepLines w:val="0"/>
        <w:pageBreakBefore w:val="0"/>
        <w:widowControl w:val="0"/>
        <w:kinsoku/>
        <w:wordWrap/>
        <w:overflowPunct/>
        <w:topLinePunct w:val="0"/>
        <w:autoSpaceDE/>
        <w:autoSpaceDN/>
        <w:bidi w:val="0"/>
        <w:adjustRightInd w:val="0"/>
        <w:snapToGrid w:val="0"/>
        <w:spacing w:after="0" w:line="440" w:lineRule="exact"/>
        <w:ind w:left="0" w:lef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jc w:val="center"/>
        <w:textAlignment w:val="auto"/>
        <w:outlineLvl w:val="0"/>
        <w:rPr>
          <w:rFonts w:hint="eastAsia" w:eastAsia="黑体" w:asciiTheme="minorHAnsi" w:hAnsiTheme="minorHAnsi" w:cstheme="minorBidi"/>
          <w:b/>
          <w:bCs/>
          <w:kern w:val="44"/>
          <w:sz w:val="32"/>
          <w:szCs w:val="32"/>
          <w:lang w:val="en-US" w:eastAsia="zh-CN" w:bidi="ar-SA"/>
        </w:rPr>
      </w:pPr>
      <w:bookmarkStart w:id="18" w:name="_Toc2217"/>
      <w:bookmarkStart w:id="19" w:name="_Toc20400"/>
      <w:bookmarkStart w:id="20" w:name="_Toc31452"/>
      <w:r>
        <w:rPr>
          <w:rFonts w:hint="eastAsia" w:eastAsia="黑体" w:asciiTheme="minorHAnsi" w:hAnsiTheme="minorHAnsi" w:cstheme="minorBidi"/>
          <w:b/>
          <w:bCs/>
          <w:kern w:val="44"/>
          <w:sz w:val="32"/>
          <w:szCs w:val="32"/>
          <w:lang w:val="en-US" w:eastAsia="zh-CN" w:bidi="ar-SA"/>
        </w:rPr>
        <w:t>中南大学：聚焦学科特色 探索沉浸式劳育新模式</w:t>
      </w:r>
      <w:bookmarkEnd w:id="18"/>
      <w:bookmarkEnd w:id="19"/>
      <w:bookmarkEnd w:id="20"/>
    </w:p>
    <w:p>
      <w:pPr>
        <w:pStyle w:val="14"/>
        <w:keepNext w:val="0"/>
        <w:keepLines w:val="0"/>
        <w:pageBreakBefore w:val="0"/>
        <w:widowControl w:val="0"/>
        <w:shd w:val="clear" w:color="auto" w:fill="auto"/>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kern w:val="0"/>
          <w:sz w:val="24"/>
          <w:shd w:val="clear" w:color="auto" w:fill="auto"/>
        </w:rPr>
      </w:pPr>
    </w:p>
    <w:p>
      <w:pPr>
        <w:spacing w:line="440" w:lineRule="exact"/>
        <w:rPr>
          <w:rFonts w:hint="eastAsia" w:ascii="楷体" w:hAnsi="楷体" w:eastAsia="楷体" w:cs="楷体"/>
          <w:bCs/>
          <w:sz w:val="24"/>
          <w:lang w:val="en-US" w:eastAsia="zh-CN"/>
        </w:rPr>
      </w:pPr>
      <w:r>
        <w:rPr>
          <w:rFonts w:hint="eastAsia" w:ascii="楷体" w:hAnsi="楷体" w:eastAsia="楷体" w:cs="楷体"/>
          <w:b/>
          <w:bCs/>
          <w:sz w:val="24"/>
        </w:rPr>
        <w:t>推荐人：</w:t>
      </w:r>
      <w:r>
        <w:rPr>
          <w:rFonts w:hint="eastAsia" w:ascii="楷体" w:hAnsi="楷体" w:eastAsia="楷体" w:cs="楷体"/>
          <w:bCs/>
          <w:sz w:val="24"/>
          <w:lang w:val="en-US" w:eastAsia="zh-CN"/>
        </w:rPr>
        <w:t>李瑶瑶</w:t>
      </w:r>
    </w:p>
    <w:p>
      <w:pPr>
        <w:spacing w:line="440" w:lineRule="exact"/>
        <w:rPr>
          <w:rFonts w:hint="eastAsia" w:ascii="楷体" w:hAnsi="楷体" w:eastAsia="楷体" w:cs="楷体"/>
          <w:color w:val="000000"/>
          <w:sz w:val="24"/>
          <w:shd w:val="clear" w:color="auto" w:fill="FFFFFF"/>
          <w:lang w:eastAsia="zh-CN"/>
        </w:rPr>
      </w:pPr>
      <w:r>
        <w:rPr>
          <w:rFonts w:hint="eastAsia" w:ascii="楷体" w:hAnsi="楷体" w:eastAsia="楷体" w:cs="楷体"/>
          <w:b/>
          <w:bCs/>
          <w:color w:val="000000"/>
          <w:sz w:val="24"/>
          <w:shd w:val="clear" w:color="auto" w:fill="FFFFFF"/>
          <w:lang w:eastAsia="zh-CN"/>
        </w:rPr>
        <w:t>推荐单位：</w:t>
      </w:r>
      <w:r>
        <w:rPr>
          <w:rFonts w:hint="eastAsia" w:ascii="楷体" w:hAnsi="楷体" w:eastAsia="楷体" w:cs="楷体"/>
          <w:color w:val="000000"/>
          <w:sz w:val="24"/>
          <w:shd w:val="clear" w:color="auto" w:fill="FFFFFF"/>
          <w:lang w:eastAsia="zh-CN"/>
        </w:rPr>
        <w:t>学生工作处</w:t>
      </w:r>
    </w:p>
    <w:p>
      <w:pPr>
        <w:spacing w:line="440" w:lineRule="exact"/>
        <w:rPr>
          <w:rFonts w:hint="eastAsia" w:ascii="楷体" w:hAnsi="楷体" w:eastAsia="楷体" w:cs="楷体"/>
          <w:bCs/>
          <w:sz w:val="24"/>
        </w:rPr>
      </w:pPr>
      <w:r>
        <w:rPr>
          <w:rFonts w:hint="eastAsia" w:ascii="楷体" w:hAnsi="楷体" w:eastAsia="楷体" w:cs="楷体"/>
          <w:b/>
          <w:bCs/>
          <w:color w:val="auto"/>
          <w:sz w:val="24"/>
        </w:rPr>
        <w:t>推荐</w:t>
      </w:r>
      <w:r>
        <w:rPr>
          <w:rFonts w:hint="eastAsia" w:ascii="楷体" w:hAnsi="楷体" w:eastAsia="楷体" w:cs="楷体"/>
          <w:b/>
          <w:bCs/>
          <w:color w:val="auto"/>
          <w:sz w:val="24"/>
          <w:lang w:val="en-US" w:eastAsia="zh-CN"/>
        </w:rPr>
        <w:t>审核人</w:t>
      </w:r>
      <w:r>
        <w:rPr>
          <w:rFonts w:hint="eastAsia" w:ascii="楷体" w:hAnsi="楷体" w:eastAsia="楷体" w:cs="楷体"/>
          <w:b/>
          <w:bCs/>
          <w:color w:val="auto"/>
          <w:sz w:val="24"/>
        </w:rPr>
        <w:t>：</w:t>
      </w:r>
      <w:r>
        <w:rPr>
          <w:rFonts w:hint="eastAsia" w:ascii="楷体" w:hAnsi="楷体" w:eastAsia="楷体" w:cs="楷体"/>
          <w:b w:val="0"/>
          <w:bCs w:val="0"/>
          <w:sz w:val="24"/>
        </w:rPr>
        <w:t>王龙</w:t>
      </w:r>
    </w:p>
    <w:p>
      <w:pPr>
        <w:spacing w:line="440" w:lineRule="exact"/>
        <w:rPr>
          <w:rFonts w:hint="eastAsia" w:ascii="楷体" w:hAnsi="楷体" w:eastAsia="楷体" w:cs="楷体"/>
          <w:sz w:val="24"/>
          <w:szCs w:val="24"/>
          <w:lang w:eastAsia="zh-CN"/>
        </w:rPr>
      </w:pPr>
      <w:r>
        <w:rPr>
          <w:rFonts w:hint="eastAsia" w:ascii="楷体" w:hAnsi="楷体" w:eastAsia="楷体" w:cs="楷体"/>
          <w:b/>
          <w:bCs/>
          <w:sz w:val="24"/>
        </w:rPr>
        <w:t>推荐理由或点评：</w:t>
      </w:r>
      <w:r>
        <w:rPr>
          <w:rFonts w:hint="eastAsia" w:ascii="楷体" w:hAnsi="楷体" w:eastAsia="楷体" w:cs="楷体"/>
          <w:sz w:val="24"/>
          <w:szCs w:val="24"/>
          <w:lang w:val="en-US" w:eastAsia="zh-CN"/>
        </w:rPr>
        <w:t>加强大学生安全教育是保障高校安全稳定的重要方面。本文从日常管理、活动开展、知识普及、宣传教育、体验培训、应急响应等方面来阐述高校应如何加强学生安全教育，</w:t>
      </w:r>
      <w:r>
        <w:rPr>
          <w:rFonts w:hint="eastAsia" w:ascii="楷体" w:hAnsi="楷体" w:eastAsia="楷体" w:cs="楷体"/>
          <w:sz w:val="24"/>
          <w:szCs w:val="24"/>
        </w:rPr>
        <w:t>提高大学生的安全知识和安全防范意识，促进他们</w:t>
      </w:r>
      <w:r>
        <w:rPr>
          <w:rFonts w:hint="eastAsia" w:ascii="楷体" w:hAnsi="楷体" w:eastAsia="楷体" w:cs="楷体"/>
          <w:sz w:val="24"/>
          <w:szCs w:val="24"/>
          <w:lang w:val="en-US" w:eastAsia="zh-CN"/>
        </w:rPr>
        <w:t>健康</w:t>
      </w:r>
      <w:r>
        <w:rPr>
          <w:rFonts w:hint="eastAsia" w:ascii="楷体" w:hAnsi="楷体" w:eastAsia="楷体" w:cs="楷体"/>
          <w:sz w:val="24"/>
          <w:szCs w:val="24"/>
        </w:rPr>
        <w:t>成长成才</w:t>
      </w:r>
      <w:r>
        <w:rPr>
          <w:rFonts w:hint="eastAsia" w:ascii="楷体" w:hAnsi="楷体" w:eastAsia="楷体" w:cs="楷体"/>
          <w:sz w:val="24"/>
          <w:szCs w:val="24"/>
          <w:lang w:eastAsia="zh-CN"/>
        </w:rPr>
        <w:t>。</w:t>
      </w:r>
    </w:p>
    <w:p>
      <w:pPr>
        <w:spacing w:line="440" w:lineRule="exact"/>
        <w:rPr>
          <w:rFonts w:hint="eastAsia" w:ascii="楷体" w:hAnsi="楷体" w:eastAsia="楷体" w:cs="楷体"/>
          <w:b/>
          <w:bCs/>
          <w:sz w:val="24"/>
          <w:lang w:val="en-US" w:eastAsia="zh-CN"/>
        </w:rPr>
      </w:pPr>
      <w:r>
        <w:rPr>
          <w:rFonts w:hint="eastAsia" w:ascii="楷体" w:hAnsi="楷体" w:eastAsia="楷体" w:cs="楷体"/>
          <w:b/>
          <w:bCs/>
          <w:sz w:val="24"/>
        </w:rPr>
        <w:t>来源：</w:t>
      </w:r>
      <w:r>
        <w:rPr>
          <w:rFonts w:hint="eastAsia" w:ascii="楷体" w:hAnsi="楷体" w:eastAsia="楷体" w:cs="楷体"/>
          <w:bCs/>
          <w:sz w:val="24"/>
          <w:lang w:val="en-US" w:eastAsia="zh-CN"/>
        </w:rPr>
        <w:t>全国高校思想政治工作网</w:t>
      </w:r>
    </w:p>
    <w:p>
      <w:pPr>
        <w:spacing w:line="440" w:lineRule="exact"/>
        <w:rPr>
          <w:rFonts w:hint="eastAsia" w:ascii="楷体" w:hAnsi="楷体" w:eastAsia="楷体" w:cs="楷体"/>
          <w:bCs/>
          <w:sz w:val="24"/>
        </w:rPr>
      </w:pPr>
      <w:r>
        <w:rPr>
          <w:rFonts w:hint="eastAsia" w:ascii="楷体" w:hAnsi="楷体" w:eastAsia="楷体" w:cs="楷体"/>
          <w:b/>
          <w:bCs/>
          <w:sz w:val="24"/>
        </w:rPr>
        <w:t>网址：</w:t>
      </w:r>
      <w:r>
        <w:rPr>
          <w:rFonts w:hint="eastAsia" w:ascii="楷体" w:hAnsi="楷体" w:eastAsia="楷体" w:cs="楷体"/>
          <w:bCs/>
          <w:sz w:val="24"/>
        </w:rPr>
        <w:t>https://www.sizhengwang.cn/a/gzdt_zxlb/220221/1016735.shtml</w:t>
      </w:r>
    </w:p>
    <w:p>
      <w:pPr>
        <w:spacing w:line="440" w:lineRule="exact"/>
        <w:rPr>
          <w:rFonts w:hint="eastAsia" w:ascii="楷体" w:hAnsi="楷体" w:eastAsia="楷体" w:cs="楷体"/>
          <w:bCs/>
          <w:sz w:val="24"/>
        </w:rPr>
      </w:pPr>
      <w:r>
        <w:rPr>
          <w:rFonts w:hint="eastAsia" w:ascii="楷体" w:hAnsi="楷体" w:eastAsia="楷体" w:cs="楷体"/>
          <w:b/>
          <w:bCs/>
          <w:sz w:val="24"/>
        </w:rPr>
        <w:t>本文发表时间：</w:t>
      </w:r>
      <w:r>
        <w:rPr>
          <w:rFonts w:hint="eastAsia" w:ascii="楷体" w:hAnsi="楷体" w:eastAsia="楷体" w:cs="楷体"/>
          <w:lang w:val="en-US" w:eastAsia="zh-CN"/>
        </w:rPr>
        <w:t>2022</w:t>
      </w:r>
      <w:r>
        <w:rPr>
          <w:rFonts w:hint="eastAsia" w:ascii="楷体" w:hAnsi="楷体" w:eastAsia="楷体" w:cs="楷体"/>
          <w:bCs/>
          <w:sz w:val="24"/>
        </w:rPr>
        <w:t>年</w:t>
      </w:r>
      <w:r>
        <w:rPr>
          <w:rFonts w:hint="eastAsia" w:ascii="楷体" w:hAnsi="楷体" w:eastAsia="楷体" w:cs="楷体"/>
          <w:bCs/>
          <w:sz w:val="24"/>
          <w:lang w:val="en-US" w:eastAsia="zh-CN"/>
        </w:rPr>
        <w:t>3</w:t>
      </w:r>
      <w:r>
        <w:rPr>
          <w:rFonts w:hint="eastAsia" w:ascii="楷体" w:hAnsi="楷体" w:eastAsia="楷体" w:cs="楷体"/>
          <w:bCs/>
          <w:sz w:val="24"/>
        </w:rPr>
        <w:t>月</w:t>
      </w:r>
      <w:r>
        <w:rPr>
          <w:rFonts w:hint="eastAsia" w:ascii="楷体" w:hAnsi="楷体" w:eastAsia="楷体" w:cs="楷体"/>
          <w:bCs/>
          <w:sz w:val="24"/>
          <w:lang w:val="en-US" w:eastAsia="zh-CN"/>
        </w:rPr>
        <w:t>2</w:t>
      </w:r>
      <w:r>
        <w:rPr>
          <w:rFonts w:hint="eastAsia" w:ascii="楷体" w:hAnsi="楷体" w:eastAsia="楷体" w:cs="楷体"/>
          <w:bCs/>
          <w:sz w:val="24"/>
        </w:rPr>
        <w:t>日</w:t>
      </w:r>
    </w:p>
    <w:p>
      <w:pPr>
        <w:spacing w:line="440" w:lineRule="exact"/>
        <w:rPr>
          <w:rFonts w:hint="eastAsia" w:ascii="楷体" w:hAnsi="楷体" w:eastAsia="楷体" w:cs="楷体"/>
          <w:bCs/>
          <w:sz w:val="24"/>
        </w:rPr>
      </w:pPr>
      <w:r>
        <w:rPr>
          <w:rFonts w:hint="eastAsia" w:ascii="楷体" w:hAnsi="楷体" w:eastAsia="楷体" w:cs="楷体"/>
          <w:b/>
          <w:bCs/>
          <w:sz w:val="24"/>
        </w:rPr>
        <w:t>本文推荐时间：</w:t>
      </w:r>
      <w:r>
        <w:rPr>
          <w:rFonts w:hint="eastAsia" w:ascii="楷体" w:hAnsi="楷体" w:eastAsia="楷体" w:cs="楷体"/>
          <w:lang w:val="en-US" w:eastAsia="zh-CN"/>
        </w:rPr>
        <w:t>2022</w:t>
      </w:r>
      <w:r>
        <w:rPr>
          <w:rFonts w:hint="eastAsia" w:ascii="楷体" w:hAnsi="楷体" w:eastAsia="楷体" w:cs="楷体"/>
          <w:bCs/>
          <w:sz w:val="24"/>
        </w:rPr>
        <w:t>年</w:t>
      </w:r>
      <w:r>
        <w:rPr>
          <w:rFonts w:hint="eastAsia" w:ascii="楷体" w:hAnsi="楷体" w:eastAsia="楷体" w:cs="楷体"/>
          <w:bCs/>
          <w:sz w:val="24"/>
          <w:lang w:val="en-US" w:eastAsia="zh-CN"/>
        </w:rPr>
        <w:t>3</w:t>
      </w:r>
      <w:r>
        <w:rPr>
          <w:rFonts w:hint="eastAsia" w:ascii="楷体" w:hAnsi="楷体" w:eastAsia="楷体" w:cs="楷体"/>
          <w:bCs/>
          <w:sz w:val="24"/>
        </w:rPr>
        <w:t>月</w:t>
      </w:r>
      <w:r>
        <w:rPr>
          <w:rFonts w:hint="eastAsia" w:ascii="楷体" w:hAnsi="楷体" w:eastAsia="楷体" w:cs="楷体"/>
          <w:bCs/>
          <w:sz w:val="24"/>
          <w:lang w:val="en-US" w:eastAsia="zh-CN"/>
        </w:rPr>
        <w:t>7</w:t>
      </w:r>
      <w:r>
        <w:rPr>
          <w:rFonts w:hint="eastAsia" w:ascii="楷体" w:hAnsi="楷体" w:eastAsia="楷体" w:cs="楷体"/>
          <w:bCs/>
          <w:sz w:val="24"/>
        </w:rPr>
        <w:t>日</w:t>
      </w:r>
    </w:p>
    <w:p>
      <w:pPr>
        <w:spacing w:line="440" w:lineRule="exact"/>
        <w:jc w:val="center"/>
        <w:rPr>
          <w:rFonts w:hint="eastAsia" w:eastAsia="黑体" w:asciiTheme="minorHAnsi" w:hAnsiTheme="minorHAnsi" w:cstheme="minorBidi"/>
          <w:b/>
          <w:bCs/>
          <w:kern w:val="44"/>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南大学深入学习贯彻习近平总书记关于教育的重要论述，把学生的生命安全放在突出位置，着力在日常管理、活动开展、知识普及、宣传教育、体验培训、应急响应等方面下功夫，抓紧抓实学生安全教育，切实维护师生安全和校园稳定。</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日常管理有机制。</w:t>
      </w:r>
      <w:r>
        <w:rPr>
          <w:rFonts w:hint="eastAsia" w:ascii="宋体" w:hAnsi="宋体" w:eastAsia="宋体" w:cs="宋体"/>
          <w:sz w:val="24"/>
          <w:szCs w:val="24"/>
          <w:lang w:val="en-US" w:eastAsia="zh-CN"/>
        </w:rPr>
        <w:t>完善学生日常管理保障机制，严格落实学生晚归寝熄灯报告制度、学生外出请假审批报告制度等。严格落实台账制度和过程管理，认真记录好《二级学院学生安全稳定工作台账本》《辅导员工作日志》《班导师工作日志》等工作台帐，确保安全工作有迹可循、有据可查。落实重点学生关怀机制，及时掌握家庭变故、身患疾病、学业困难等学生的情况，加强关心关爱。</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活动开展有体系。</w:t>
      </w:r>
      <w:r>
        <w:rPr>
          <w:rFonts w:hint="eastAsia" w:ascii="宋体" w:hAnsi="宋体" w:eastAsia="宋体" w:cs="宋体"/>
          <w:sz w:val="24"/>
          <w:szCs w:val="24"/>
          <w:lang w:val="en-US" w:eastAsia="zh-CN"/>
        </w:rPr>
        <w:t>每学年制定大学生安全教育活动计划，组织各二级培养单位积极开展相关法律法规、心理健康与安全主题教育、网络信息安全教育、毕业季安全教育、新生安全教育、资助信息安全与校园不良网贷风险防范教育、实验室安全教育等。连续11年组织开展“平安校园 和谐中南”消防演习活动活动，组织全校师生开展消防演练，学习火灾险情处理方法。开展“走进课堂”“消防安全在我心”等线上线下活动，切实提高学生的消防知识水平、基本消防技能和消防应急处理能力。依托大学生安全教育基地，开展大学生安全主题展、大学生安全知识竞赛以及校园安全文化周等系列活动，提高大学生安全意识和防范技能。</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知识普及有读本。</w:t>
      </w:r>
      <w:r>
        <w:rPr>
          <w:rFonts w:hint="eastAsia" w:ascii="宋体" w:hAnsi="宋体" w:eastAsia="宋体" w:cs="宋体"/>
          <w:sz w:val="24"/>
          <w:szCs w:val="24"/>
          <w:lang w:val="en-US" w:eastAsia="zh-CN"/>
        </w:rPr>
        <w:t>大力加强大学生安全教育和法治教育，在对校园安全案例进行分析研究的基础上，将安全知识编印成可读性强、实用性高的读本，引导大学生掌握基本的安全知识。每年为新生发放《大学生活安全手册》，对学生进行国家安全、消防安全、交通安全等教育，组织新生入学后参加校规校纪和安全知识考试，实现以考促学、以学促用，提高学生安全素养和意识能力。</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宣传教育有平台。</w:t>
      </w:r>
      <w:r>
        <w:rPr>
          <w:rFonts w:hint="eastAsia" w:ascii="宋体" w:hAnsi="宋体" w:eastAsia="宋体" w:cs="宋体"/>
          <w:sz w:val="24"/>
          <w:szCs w:val="24"/>
          <w:lang w:val="en-US" w:eastAsia="zh-CN"/>
        </w:rPr>
        <w:t>建设“中南小黄帽”线上新媒体平台，在“中南云麓谷”微信平台上设置“平安中南”模块，利用微信、微博等线上平台，线上线下相结合，进行信息收集反馈，向学生普及国家安全、消防安全、交通安全、防范网络电信诈骗等知识。同时利用展板、宣传手册等强化线下安全知识宣传，进一步提高学生安全防范意识。</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培训体验有课堂。</w:t>
      </w:r>
      <w:r>
        <w:rPr>
          <w:rFonts w:hint="eastAsia" w:ascii="宋体" w:hAnsi="宋体" w:eastAsia="宋体" w:cs="宋体"/>
          <w:sz w:val="24"/>
          <w:szCs w:val="24"/>
          <w:lang w:val="en-US" w:eastAsia="zh-CN"/>
        </w:rPr>
        <w:t>依托安全教育体验馆，打造“大学生安全教育沉浸式体验课堂”，设计校园安全警示教育、电信诈骗、交通隐患排查体验等14个展示体验内容。将直观体验和安全知识相结合，通过“培训+体验+演练”的形式，开展安全教育全场景模拟，帮助学生熟练掌握安全防护措施。加强安全知识掌握情况和风险防范能力测评，切实提升大学生安全素养技能。</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应急响应有预案。</w:t>
      </w:r>
      <w:r>
        <w:rPr>
          <w:rFonts w:hint="eastAsia" w:ascii="宋体" w:hAnsi="宋体" w:eastAsia="宋体" w:cs="宋体"/>
          <w:sz w:val="24"/>
          <w:szCs w:val="24"/>
          <w:lang w:val="en-US" w:eastAsia="zh-CN"/>
        </w:rPr>
        <w:t>制定《突发公共事件应急预案》《关于学生突发事件处理工作的要求及建议》《学生突发事件应急处置流程图》等，明确细化学生突发事件报送流程、处置协调、应急指导、应急反馈等具体办法，进一步明确职责、健全机制、改进方法、提高效率，切实提高应急处理能力。</w:t>
      </w:r>
    </w:p>
    <w:p>
      <w:pPr>
        <w:pStyle w:val="2"/>
        <w:ind w:left="0" w:leftChars="0" w:firstLine="0" w:firstLineChars="0"/>
        <w:rPr>
          <w:rFonts w:hint="eastAsia" w:ascii="宋体" w:hAnsi="宋体" w:eastAsia="宋体" w:cs="宋体"/>
          <w:kern w:val="2"/>
          <w:sz w:val="24"/>
          <w:szCs w:val="24"/>
          <w:lang w:val="en-US" w:eastAsia="zh-CN" w:bidi="ar-SA"/>
        </w:rPr>
      </w:pPr>
    </w:p>
    <w:p>
      <w:pPr>
        <w:pStyle w:val="4"/>
        <w:pageBreakBefore w:val="0"/>
        <w:widowControl w:val="0"/>
        <w:kinsoku/>
        <w:wordWrap/>
        <w:overflowPunct/>
        <w:topLinePunct w:val="0"/>
        <w:autoSpaceDE/>
        <w:autoSpaceDN/>
        <w:bidi w:val="0"/>
        <w:adjustRightInd w:val="0"/>
        <w:snapToGrid w:val="0"/>
        <w:spacing w:line="440" w:lineRule="exact"/>
        <w:ind w:left="0" w:leftChars="0"/>
        <w:jc w:val="center"/>
        <w:textAlignment w:val="auto"/>
        <w:rPr>
          <w:b/>
          <w:bCs/>
          <w:sz w:val="32"/>
          <w:szCs w:val="32"/>
        </w:rPr>
      </w:pPr>
      <w:bookmarkStart w:id="21" w:name="_Toc27804"/>
      <w:bookmarkStart w:id="22" w:name="_Toc97707912"/>
      <w:r>
        <w:rPr>
          <w:rFonts w:hint="eastAsia"/>
          <w:b/>
          <w:bCs/>
          <w:sz w:val="32"/>
          <w:szCs w:val="32"/>
        </w:rPr>
        <w:t>创新“双元四阶、三融三合”人才培养模式</w:t>
      </w:r>
      <w:bookmarkEnd w:id="21"/>
      <w:bookmarkEnd w:id="22"/>
    </w:p>
    <w:p>
      <w:pPr>
        <w:spacing w:line="440" w:lineRule="exact"/>
        <w:rPr>
          <w:rFonts w:ascii="仿宋_GB2312" w:hAnsi="楷体" w:eastAsia="仿宋_GB2312" w:cs="楷体"/>
          <w:b/>
          <w:bCs/>
          <w:color w:val="000000" w:themeColor="text1"/>
          <w:sz w:val="28"/>
          <w:szCs w:val="28"/>
          <w14:textFill>
            <w14:solidFill>
              <w14:schemeClr w14:val="tx1"/>
            </w14:solidFill>
          </w14:textFill>
        </w:rPr>
      </w:pPr>
    </w:p>
    <w:p>
      <w:pPr>
        <w:spacing w:line="440" w:lineRule="exac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b/>
          <w:bCs/>
          <w:color w:val="000000" w:themeColor="text1"/>
          <w:sz w:val="24"/>
          <w:szCs w:val="24"/>
          <w14:textFill>
            <w14:solidFill>
              <w14:schemeClr w14:val="tx1"/>
            </w14:solidFill>
          </w14:textFill>
        </w:rPr>
        <w:t>推荐人：</w:t>
      </w:r>
      <w:r>
        <w:rPr>
          <w:rFonts w:hint="eastAsia" w:ascii="楷体" w:hAnsi="楷体" w:eastAsia="楷体" w:cs="楷体"/>
          <w:color w:val="000000" w:themeColor="text1"/>
          <w:sz w:val="24"/>
          <w:szCs w:val="24"/>
          <w14:textFill>
            <w14:solidFill>
              <w14:schemeClr w14:val="tx1"/>
            </w14:solidFill>
          </w14:textFill>
        </w:rPr>
        <w:t>曾熊</w:t>
      </w:r>
    </w:p>
    <w:p>
      <w:pPr>
        <w:spacing w:line="440" w:lineRule="exac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b/>
          <w:bCs/>
          <w:color w:val="000000" w:themeColor="text1"/>
          <w:sz w:val="24"/>
          <w:szCs w:val="24"/>
          <w14:textFill>
            <w14:solidFill>
              <w14:schemeClr w14:val="tx1"/>
            </w14:solidFill>
          </w14:textFill>
        </w:rPr>
        <w:t>推荐单位：</w:t>
      </w:r>
      <w:r>
        <w:rPr>
          <w:rFonts w:hint="eastAsia" w:ascii="楷体" w:hAnsi="楷体" w:eastAsia="楷体" w:cs="楷体"/>
          <w:color w:val="000000" w:themeColor="text1"/>
          <w:sz w:val="24"/>
          <w:szCs w:val="24"/>
          <w14:textFill>
            <w14:solidFill>
              <w14:schemeClr w14:val="tx1"/>
            </w14:solidFill>
          </w14:textFill>
        </w:rPr>
        <w:t>计算机与信息工程学院</w:t>
      </w:r>
    </w:p>
    <w:p>
      <w:pPr>
        <w:spacing w:line="440" w:lineRule="exact"/>
        <w:rPr>
          <w:rFonts w:hint="eastAsia" w:ascii="楷体" w:hAnsi="楷体" w:eastAsia="楷体" w:cs="楷体"/>
          <w:color w:val="000000" w:themeColor="text1"/>
          <w:kern w:val="0"/>
          <w:sz w:val="24"/>
          <w:szCs w:val="24"/>
          <w14:textFill>
            <w14:solidFill>
              <w14:schemeClr w14:val="tx1"/>
            </w14:solidFill>
          </w14:textFill>
        </w:rPr>
      </w:pPr>
      <w:r>
        <w:rPr>
          <w:rFonts w:hint="eastAsia" w:ascii="楷体" w:hAnsi="楷体" w:eastAsia="楷体" w:cs="楷体"/>
          <w:b/>
          <w:bCs/>
          <w:color w:val="000000" w:themeColor="text1"/>
          <w:sz w:val="24"/>
          <w:szCs w:val="24"/>
          <w14:textFill>
            <w14:solidFill>
              <w14:schemeClr w14:val="tx1"/>
            </w14:solidFill>
          </w14:textFill>
        </w:rPr>
        <w:t>推荐审核人：</w:t>
      </w:r>
      <w:r>
        <w:rPr>
          <w:rFonts w:hint="eastAsia" w:ascii="楷体" w:hAnsi="楷体" w:eastAsia="楷体" w:cs="楷体"/>
          <w:b w:val="0"/>
          <w:bCs w:val="0"/>
          <w:color w:val="000000" w:themeColor="text1"/>
          <w:sz w:val="24"/>
          <w:szCs w:val="24"/>
          <w14:textFill>
            <w14:solidFill>
              <w14:schemeClr w14:val="tx1"/>
            </w14:solidFill>
          </w14:textFill>
        </w:rPr>
        <w:t>谭学锋</w:t>
      </w:r>
    </w:p>
    <w:p>
      <w:pPr>
        <w:pStyle w:val="14"/>
        <w:spacing w:line="440" w:lineRule="exact"/>
        <w:jc w:val="left"/>
        <w:rPr>
          <w:rFonts w:hint="eastAsia" w:ascii="楷体" w:hAnsi="楷体" w:eastAsia="楷体" w:cs="楷体"/>
          <w:b w:val="0"/>
          <w:bCs w:val="0"/>
          <w:color w:val="000000" w:themeColor="text1"/>
          <w:kern w:val="0"/>
          <w:sz w:val="24"/>
          <w:szCs w:val="24"/>
          <w14:textFill>
            <w14:solidFill>
              <w14:schemeClr w14:val="tx1"/>
            </w14:solidFill>
          </w14:textFill>
        </w:rPr>
      </w:pPr>
      <w:r>
        <w:rPr>
          <w:rFonts w:hint="eastAsia" w:ascii="楷体" w:hAnsi="楷体" w:eastAsia="楷体" w:cs="楷体"/>
          <w:b/>
          <w:bCs/>
          <w:color w:val="000000" w:themeColor="text1"/>
          <w:sz w:val="24"/>
          <w:szCs w:val="24"/>
          <w14:textFill>
            <w14:solidFill>
              <w14:schemeClr w14:val="tx1"/>
            </w14:solidFill>
          </w14:textFill>
        </w:rPr>
        <w:t xml:space="preserve">推荐理由或点评： </w:t>
      </w:r>
      <w:r>
        <w:rPr>
          <w:rFonts w:hint="eastAsia" w:ascii="楷体" w:hAnsi="楷体" w:eastAsia="楷体" w:cs="楷体"/>
          <w:b w:val="0"/>
          <w:bCs w:val="0"/>
          <w:color w:val="000000" w:themeColor="text1"/>
          <w:sz w:val="24"/>
          <w:szCs w:val="24"/>
          <w14:textFill>
            <w14:solidFill>
              <w14:schemeClr w14:val="tx1"/>
            </w14:solidFill>
          </w14:textFill>
        </w:rPr>
        <w:t>化工技术类专业是常州工程职业技术学院老牌长线专业，面对石化行业与职教领域的深刻变化，该校直面改革，谋求发展，从培养目标优化、课程体系重构、教学模式改革、教学条件提升等方面入手，积极探索产教深度融合和校企协同育人机制，确立了“标准融入、能力递进、校企协同、书证融通、技创一体”的人才培养理念，形成了高职化工技术类专业的“双元四阶、三融三合”人才培养模式。</w:t>
      </w:r>
    </w:p>
    <w:p>
      <w:pPr>
        <w:spacing w:line="440" w:lineRule="exact"/>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b/>
          <w:bCs/>
          <w:color w:val="000000" w:themeColor="text1"/>
          <w:sz w:val="24"/>
          <w:szCs w:val="24"/>
          <w14:textFill>
            <w14:solidFill>
              <w14:schemeClr w14:val="tx1"/>
            </w14:solidFill>
          </w14:textFill>
        </w:rPr>
        <w:t>来源：</w:t>
      </w:r>
      <w:r>
        <w:rPr>
          <w:rFonts w:hint="eastAsia" w:ascii="楷体" w:hAnsi="楷体" w:eastAsia="楷体" w:cs="楷体"/>
          <w:color w:val="000000" w:themeColor="text1"/>
          <w:sz w:val="24"/>
          <w:szCs w:val="24"/>
          <w14:textFill>
            <w14:solidFill>
              <w14:schemeClr w14:val="tx1"/>
            </w14:solidFill>
          </w14:textFill>
        </w:rPr>
        <w:t>中国教育报</w:t>
      </w:r>
    </w:p>
    <w:p>
      <w:pPr>
        <w:spacing w:line="440" w:lineRule="exact"/>
        <w:jc w:val="left"/>
        <w:rPr>
          <w:rStyle w:val="12"/>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b/>
          <w:bCs/>
          <w:color w:val="000000" w:themeColor="text1"/>
          <w:sz w:val="24"/>
          <w:szCs w:val="24"/>
          <w14:textFill>
            <w14:solidFill>
              <w14:schemeClr w14:val="tx1"/>
            </w14:solidFill>
          </w14:textFill>
        </w:rPr>
        <w:t>网址：</w:t>
      </w:r>
      <w:r>
        <w:rPr>
          <w:rFonts w:hint="eastAsia" w:ascii="楷体" w:hAnsi="楷体" w:eastAsia="楷体" w:cs="楷体"/>
          <w:color w:val="000000" w:themeColor="text1"/>
          <w:sz w:val="24"/>
          <w:szCs w:val="24"/>
          <w14:textFill>
            <w14:solidFill>
              <w14:schemeClr w14:val="tx1"/>
            </w14:solidFill>
          </w14:textFill>
        </w:rPr>
        <w:t>http://paper.jyb.cn/zgjyb/html/2022-03/04/content_606122.htm?div=-1</w:t>
      </w:r>
    </w:p>
    <w:p>
      <w:pPr>
        <w:spacing w:line="440" w:lineRule="exact"/>
        <w:rPr>
          <w:rFonts w:hint="eastAsia" w:ascii="楷体" w:hAnsi="楷体" w:eastAsia="楷体" w:cs="楷体"/>
          <w:bCs/>
          <w:sz w:val="24"/>
          <w:szCs w:val="24"/>
        </w:rPr>
      </w:pPr>
      <w:r>
        <w:rPr>
          <w:rFonts w:hint="eastAsia" w:ascii="楷体" w:hAnsi="楷体" w:eastAsia="楷体" w:cs="楷体"/>
          <w:b/>
          <w:bCs/>
          <w:color w:val="000000" w:themeColor="text1"/>
          <w:sz w:val="24"/>
          <w:szCs w:val="24"/>
          <w14:textFill>
            <w14:solidFill>
              <w14:schemeClr w14:val="tx1"/>
            </w14:solidFill>
          </w14:textFill>
        </w:rPr>
        <w:t>本文发表时间：</w:t>
      </w:r>
      <w:r>
        <w:rPr>
          <w:rFonts w:hint="eastAsia" w:ascii="楷体" w:hAnsi="楷体" w:eastAsia="楷体" w:cs="楷体"/>
          <w:bCs/>
          <w:color w:val="000000" w:themeColor="text1"/>
          <w:sz w:val="24"/>
          <w:szCs w:val="24"/>
          <w14:textFill>
            <w14:solidFill>
              <w14:schemeClr w14:val="tx1"/>
            </w14:solidFill>
          </w14:textFill>
        </w:rPr>
        <w:t>2022年3月4日</w:t>
      </w:r>
    </w:p>
    <w:p>
      <w:pPr>
        <w:spacing w:line="440" w:lineRule="exact"/>
        <w:rPr>
          <w:rFonts w:hint="eastAsia" w:ascii="楷体" w:hAnsi="楷体" w:eastAsia="楷体" w:cs="楷体"/>
          <w:bCs/>
          <w:color w:val="000000" w:themeColor="text1"/>
          <w:sz w:val="24"/>
          <w:szCs w:val="24"/>
          <w14:textFill>
            <w14:solidFill>
              <w14:schemeClr w14:val="tx1"/>
            </w14:solidFill>
          </w14:textFill>
        </w:rPr>
      </w:pPr>
      <w:r>
        <w:rPr>
          <w:rFonts w:hint="eastAsia" w:ascii="楷体" w:hAnsi="楷体" w:eastAsia="楷体" w:cs="楷体"/>
          <w:b/>
          <w:bCs/>
          <w:color w:val="000000" w:themeColor="text1"/>
          <w:sz w:val="24"/>
          <w:szCs w:val="24"/>
          <w14:textFill>
            <w14:solidFill>
              <w14:schemeClr w14:val="tx1"/>
            </w14:solidFill>
          </w14:textFill>
        </w:rPr>
        <w:t>本文推荐时间：</w:t>
      </w:r>
      <w:r>
        <w:rPr>
          <w:rFonts w:hint="eastAsia" w:ascii="楷体" w:hAnsi="楷体" w:eastAsia="楷体" w:cs="楷体"/>
          <w:bCs/>
          <w:color w:val="000000" w:themeColor="text1"/>
          <w:sz w:val="24"/>
          <w:szCs w:val="24"/>
          <w14:textFill>
            <w14:solidFill>
              <w14:schemeClr w14:val="tx1"/>
            </w14:solidFill>
          </w14:textFill>
        </w:rPr>
        <w:t>2022年3月5日</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p>
    <w:p>
      <w:pPr>
        <w:pStyle w:val="3"/>
        <w:keepNext w:val="0"/>
        <w:keepLines w:val="0"/>
        <w:pageBreakBefore w:val="0"/>
        <w:widowControl w:val="0"/>
        <w:tabs>
          <w:tab w:val="left" w:pos="6700"/>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化工技术类专业是常州工程职业技术学院老牌长线专业，始建于1958年，历经几代人的建设和发展，已成为全国知名的职教品牌专业。</w:t>
      </w:r>
    </w:p>
    <w:p>
      <w:pPr>
        <w:pStyle w:val="3"/>
        <w:keepNext w:val="0"/>
        <w:keepLines w:val="0"/>
        <w:pageBreakBefore w:val="0"/>
        <w:widowControl w:val="0"/>
        <w:tabs>
          <w:tab w:val="left" w:pos="6700"/>
        </w:tabs>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直面问题 谋求变革</w:t>
      </w:r>
    </w:p>
    <w:p>
      <w:pPr>
        <w:pStyle w:val="3"/>
        <w:keepNext w:val="0"/>
        <w:keepLines w:val="0"/>
        <w:pageBreakBefore w:val="0"/>
        <w:widowControl w:val="0"/>
        <w:tabs>
          <w:tab w:val="left" w:pos="6700"/>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近年来，随着“两化”融合不断推进，石化行业向绿色、集约和智能化方向的产业结构转型与技术升级日益加速，倡导学生全面与个性化发展的职业教育教学改革日益深化。面对上述石化行业与职教领域的深刻变化，学校应如何调整和优化专业人才培养的目标、规格与课程体系？如何创新和健全教学运行与质量监控机制？如何强化和完善教学条件支撑？自2010年以来，学校始终秉持“创新、绿色、协同、共享”发展理念和《中国制造2025》建设要求，围绕专业设置对接产业发展、人才培养对接石化行业技术升级的要求，从培养目标优化、课程体系重构、教学模式改革、教学条件提升等方面入手，积极探索产教深度融合和校企协同育人机制，确立了“标准融入、能力递进、校企协同、书证融通、技创一体”的人才培养理念，形成了高职化工技术类专业的“双元四阶、三融三合”人才培养模式。</w:t>
      </w:r>
    </w:p>
    <w:p>
      <w:pPr>
        <w:pStyle w:val="3"/>
        <w:keepNext w:val="0"/>
        <w:keepLines w:val="0"/>
        <w:pageBreakBefore w:val="0"/>
        <w:widowControl w:val="0"/>
        <w:tabs>
          <w:tab w:val="left" w:pos="6700"/>
        </w:tabs>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目标导向 深化改革</w:t>
      </w:r>
    </w:p>
    <w:p>
      <w:pPr>
        <w:pStyle w:val="3"/>
        <w:keepNext w:val="0"/>
        <w:keepLines w:val="0"/>
        <w:pageBreakBefore w:val="0"/>
        <w:widowControl w:val="0"/>
        <w:tabs>
          <w:tab w:val="left" w:pos="6700"/>
        </w:tabs>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1.系统设计“双元四阶”人才培养路径，重构课程与实践教学体系，实现人才培养目标规格契合职业岗位需求。</w:t>
      </w:r>
    </w:p>
    <w:p>
      <w:pPr>
        <w:pStyle w:val="3"/>
        <w:keepNext w:val="0"/>
        <w:keepLines w:val="0"/>
        <w:pageBreakBefore w:val="0"/>
        <w:widowControl w:val="0"/>
        <w:tabs>
          <w:tab w:val="left" w:pos="6700"/>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一是以职业能力进阶为导向，系统设计“双元四阶”人才培养路径。依据岗位需求，对标典型化工职业技能等级标准和化工生产控制、安全、设计等行业技术标准，设定“操作控制、生产管理、道德素养、持续发展和社会责任”五维度培养目标、12项毕业要求和42个毕业指标点；依据职业能力成长和职业教育规律，系统设计了校企双元协同并遵循“职业认知和职业通用能力培养→职业意识养成和专业专项能力培养→职业素养深化和职业综合能力培养→职业操守内化和岗位（群）实务胜任”的“双元四阶”人才培养路径。</w:t>
      </w:r>
    </w:p>
    <w:p>
      <w:pPr>
        <w:pStyle w:val="3"/>
        <w:keepNext w:val="0"/>
        <w:keepLines w:val="0"/>
        <w:pageBreakBefore w:val="0"/>
        <w:widowControl w:val="0"/>
        <w:tabs>
          <w:tab w:val="left" w:pos="6700"/>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二是基于工作过程系统化，重构专业课程体系。依据毕业指标点和工作过程系统化的要求，融入职业技能标准和行业技术标准要求，构建了“公共文化通识通修课程”“专业（群）平台课程”两大平台和“专业方向模块课程”“专业拓展模块课程”两大技术模块的“平台+模块”课程体系，并开发专业课程标准23门，形成了专业课程教学标准体系，以满足学生职业通用能力、职业特定能力、创新能力与职业迁移能力培养的需求。</w:t>
      </w:r>
    </w:p>
    <w:p>
      <w:pPr>
        <w:pStyle w:val="3"/>
        <w:keepNext w:val="0"/>
        <w:keepLines w:val="0"/>
        <w:pageBreakBefore w:val="0"/>
        <w:widowControl w:val="0"/>
        <w:tabs>
          <w:tab w:val="left" w:pos="6700"/>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三是突出学生主体，构建“双元四阶、职创并举”实践教学体系。依照专业课程体系，依托学校与企业两个中心、课内与课外两个课堂，系统设计专业理实一体化教学、“X”职业技能训练、科创实践及顶岗实习等实践教学环节，构建了职业通用技能训练、专项技能训练、综合技能训练和岗前职业培训“四阶”递进、“职创并举”的实践教学体系。</w:t>
      </w:r>
    </w:p>
    <w:p>
      <w:pPr>
        <w:pStyle w:val="3"/>
        <w:keepNext w:val="0"/>
        <w:keepLines w:val="0"/>
        <w:pageBreakBefore w:val="0"/>
        <w:widowControl w:val="0"/>
        <w:tabs>
          <w:tab w:val="left" w:pos="6700"/>
        </w:tabs>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2.创新“三融三合”教学运行机制，凸显“课—证—赛—创”融通，促进学生多元发展</w:t>
      </w:r>
    </w:p>
    <w:p>
      <w:pPr>
        <w:pStyle w:val="3"/>
        <w:keepNext w:val="0"/>
        <w:keepLines w:val="0"/>
        <w:pageBreakBefore w:val="0"/>
        <w:widowControl w:val="0"/>
        <w:tabs>
          <w:tab w:val="left" w:pos="6700"/>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一是将标准要素全方位融入教学过程，实施行动导向教学。对接职业技能标准、行业技术标准和国赛标准，以任务驱动方式实施行动导向教学，以职业活动顺序设计教学活动；将技能考证案例和国赛竞赛项目融入课程教学、技能训练和竞赛组织方式融入教学组织过程、技能评价标准融入实践教学考核过程，创设了对接标准的“三融”教学形态。</w:t>
      </w:r>
    </w:p>
    <w:p>
      <w:pPr>
        <w:pStyle w:val="3"/>
        <w:keepNext w:val="0"/>
        <w:keepLines w:val="0"/>
        <w:pageBreakBefore w:val="0"/>
        <w:widowControl w:val="0"/>
        <w:tabs>
          <w:tab w:val="left" w:pos="6700"/>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二是建立“三合”机制，实现学生全面和个性化发展。设置“书证”课程和技能考证学分互认机制，学生可自由选取“书证”课程和对应的技能证书考核，并获取相应学分，实现了课程教学与技能考证相融合；建立“校级技能月—省赛—国赛”三级技能竞赛选拔机制，通过技能月活动，全体学生参与职业技能等级培训考证，同时选拔省赛国赛人选和组织集训，达成全员技能等级考证、竞赛选拔和卓越技能人才的培养，实现技能考证与竞赛选拔相融合；系统设计“双创”课程和实践教学，实施课内课外理实一体化教学、职业技能训练、科创实践等技创一体化教学，实现了专业教育与“双创”教育相融合。</w:t>
      </w:r>
    </w:p>
    <w:p>
      <w:pPr>
        <w:pStyle w:val="3"/>
        <w:keepNext w:val="0"/>
        <w:keepLines w:val="0"/>
        <w:pageBreakBefore w:val="0"/>
        <w:widowControl w:val="0"/>
        <w:tabs>
          <w:tab w:val="left" w:pos="6700"/>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在创新“三融三合”教学运行机制的基础上，形成了教学过程对接职业活动，“学历教育—技能训练与考证—‘双创’教育”相融合的“一对接、三融合”教学模式，实现了“书证（1+X）融通、技创一体、匠心养成”的一体化培养。</w:t>
      </w:r>
    </w:p>
    <w:p>
      <w:pPr>
        <w:pStyle w:val="3"/>
        <w:keepNext w:val="0"/>
        <w:keepLines w:val="0"/>
        <w:pageBreakBefore w:val="0"/>
        <w:widowControl w:val="0"/>
        <w:tabs>
          <w:tab w:val="left" w:pos="6700"/>
        </w:tabs>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3.实施人才培养目标达成和课程教学质量保证机制，保证人才培养目标达成和课程教学质量</w:t>
      </w:r>
    </w:p>
    <w:p>
      <w:pPr>
        <w:pStyle w:val="3"/>
        <w:keepNext w:val="0"/>
        <w:keepLines w:val="0"/>
        <w:pageBreakBefore w:val="0"/>
        <w:widowControl w:val="0"/>
        <w:tabs>
          <w:tab w:val="left" w:pos="6700"/>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一是依托信息化技术，建立并实施目标达成与课程教学自我诊改机制。基于OBE教育理念，架构“专业培养目标—课程目标—课堂教学目标”贯通的教学标准体系；依托学校“工程云课堂”，实施教学目标自我诊改。根据学生学习进度、教学活动参与率、任务完成率、目标达成度、课堂学习满意度等教学数据分析，实施课堂实时诊改、课程学期诊改和专业年度诊改，任课教师及时调整、持续改进教学目标、手段和方法，优化教学设计，实现了“课堂教学目标达成→课程目标达成→专业培养目标达成”。</w:t>
      </w:r>
    </w:p>
    <w:p>
      <w:pPr>
        <w:pStyle w:val="3"/>
        <w:keepNext w:val="0"/>
        <w:keepLines w:val="0"/>
        <w:pageBreakBefore w:val="0"/>
        <w:widowControl w:val="0"/>
        <w:tabs>
          <w:tab w:val="left" w:pos="6700"/>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二是依托项目化教学，全面实施学生学业综合评价。以项目化课程教学改革为抓手，全面改革专业基础平台课程、技术模块课程和专业方向课程的课程评价方式；以“项目载体、任务驱动”方式实施课堂教学，以职业活动考核要素为依据，综合考核学生学业，形成了“三主体”（教师、学生、企业师傅）、“四维度”（知识、技能、思想品德与职业操守、个性发展）和“四结合”（过程与结果、理论与实操、个体与团队、自评与他评）的综合评价体系，保障了课程教学质量，促进了学生的全面发展。</w:t>
      </w:r>
    </w:p>
    <w:p>
      <w:pPr>
        <w:pStyle w:val="3"/>
        <w:keepNext w:val="0"/>
        <w:keepLines w:val="0"/>
        <w:pageBreakBefore w:val="0"/>
        <w:widowControl w:val="0"/>
        <w:tabs>
          <w:tab w:val="left" w:pos="6700"/>
        </w:tabs>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4.迭代升级化工实训基地和立体化课程资源，保障教学条件支撑和人才培养模式改革</w:t>
      </w:r>
    </w:p>
    <w:p>
      <w:pPr>
        <w:pStyle w:val="3"/>
        <w:keepNext w:val="0"/>
        <w:keepLines w:val="0"/>
        <w:pageBreakBefore w:val="0"/>
        <w:widowControl w:val="0"/>
        <w:tabs>
          <w:tab w:val="left" w:pos="6700"/>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一是遵循石化行业技术标准，智能化升级了化工实训基地。建立“技术引领、校企合作”校内化工实训基地的智能化升级与改造机制，对接石化产业新技术新工艺，采用VR、AR、虚拟仿真等技术，校企合作迭代升级单元操作实训装置、建设虚拟仿真化工生产实训中心和半实物仿真实训装置；搭建了SIS安全系统、MES生产执行系统和AR\VR系统模块，开发了内外操联合和多人班组协作训练功能，完善了智能控制的“单元级—工段级—车间级”实训平台；完备了药物合成、分析测试和安全技术实训平台，提升了“校—省—国家”三级化工生产技术职业技能竞赛平台，保证了实训装置技术水平与产业技术高端相衔接。</w:t>
      </w:r>
    </w:p>
    <w:p>
      <w:pPr>
        <w:pStyle w:val="3"/>
        <w:keepNext w:val="0"/>
        <w:keepLines w:val="0"/>
        <w:pageBreakBefore w:val="0"/>
        <w:widowControl w:val="0"/>
        <w:tabs>
          <w:tab w:val="left" w:pos="6700"/>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二是遵循信息化资源技术标准，建设了基于“互联网+”的立体化课程资源。创设“用户导向和建用一体”的专业课程资源建设理念与模式和“素材层←→表现层←→交互层”三层式的课程资源建设、使用和更新机制；基于化工职业标准与行动导向教学（建设者）和用户诉求（使用者），收集生产案例和竞赛案例，开发和更新优化课程资源素材与教材（素材层）；基于用户学习方式，开发在线开放微课程、富媒体教材和化工操作互动动画（表现层），基于“互联网+”技术开发以浏览器为容器、能基于即时响应和学情分析的学习平台（互动层）；实现了建设者与使用者之间的即时响应和共享共生；满足了学习者“书中学”“做中学”和“课中学”的个性化学习方式，有力保障了线上线下混合式教学改革。</w:t>
      </w:r>
    </w:p>
    <w:p>
      <w:pPr>
        <w:pStyle w:val="3"/>
        <w:keepNext w:val="0"/>
        <w:keepLines w:val="0"/>
        <w:pageBreakBefore w:val="0"/>
        <w:widowControl w:val="0"/>
        <w:tabs>
          <w:tab w:val="left" w:pos="6700"/>
        </w:tabs>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成果卓著 彰显示范</w:t>
      </w:r>
    </w:p>
    <w:p>
      <w:pPr>
        <w:pStyle w:val="3"/>
        <w:keepNext w:val="0"/>
        <w:keepLines w:val="0"/>
        <w:pageBreakBefore w:val="0"/>
        <w:widowControl w:val="0"/>
        <w:tabs>
          <w:tab w:val="left" w:pos="6700"/>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化工技术类专业“双元四阶、三融三合”人才培养模式的创新实践，促进了学校专业建设水平的全面提高，产出了一大批标志性成果，提升了人才培养质量，增强了学校核心竞争力。在全国石化职业教育领域引领了专业、课程、资源、教材、实训基地、师资队伍等内涵建设，2010年以来，化工技术类专业先后建成江苏省特色专业3个、品牌专业1个，国家教育部门优质骨干专业4个；2019年，学校应用化工技术专业群入选全国“双高计划”；2014年，学校化工系入选全国职业教育先进单位；学校成为国家应用化工技术和化工智能制造技术专业目录修订组组长单位、全国石油和化工职业教育教学指导委员会副主任单位。学校先后主持研制国家专业教学标准、国赛技术规程22项；主持建设国家专业教学资源库1个、国家专业课程资源3门，主编国家规划教材13部，获评全国首届优秀教材一等奖1部、国家精品教材1部；建设首批国家教学创新团队1支、全国石化行业优秀教学团队2支，化工实训基地获评国家和省级专业师资实践培训基地；化工技术类专业学生获得连续8届全国职业院校技能大赛化工生产技术赛项团体一等奖；2017年以来，学生主持省级“双创”项目和参加省级及以上各类“双创”竞赛与毕业设计/论文评比获奖68项。“实施教师发展‘135’工程，打造德技双馨高水平教学创新团队”和“对接职业标准、基于行动导向、融入信息技术，打造《传热应用技术》新形态教材”分别入选江苏省2021年和2022年高等职业教育质量年度报告典型案例，“三阶四融五保障培养卓越技术技能人才”案例入选全国高职院校创新创业教育特色典型案例。2021年，化工技术类专业“双元四阶、三融三合”人才培养模式的创新实践成果获江苏省职业教育类教学成果奖特等奖。</w:t>
      </w:r>
    </w:p>
    <w:p>
      <w:pPr>
        <w:pStyle w:val="2"/>
        <w:keepNext w:val="0"/>
        <w:keepLines w:val="0"/>
        <w:pageBreakBefore w:val="0"/>
        <w:kinsoku/>
        <w:wordWrap/>
        <w:overflowPunct/>
        <w:topLinePunct w:val="0"/>
        <w:autoSpaceDE/>
        <w:autoSpaceDN/>
        <w:bidi w:val="0"/>
        <w:adjustRightInd w:val="0"/>
        <w:snapToGrid w:val="0"/>
        <w:spacing w:after="0" w:line="440" w:lineRule="exact"/>
        <w:ind w:left="0" w:leftChars="0" w:firstLine="0" w:firstLineChars="0"/>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jc w:val="center"/>
        <w:textAlignment w:val="auto"/>
        <w:outlineLvl w:val="0"/>
        <w:rPr>
          <w:rFonts w:hint="eastAsia" w:eastAsia="黑体" w:asciiTheme="minorHAnsi" w:hAnsiTheme="minorHAnsi" w:cstheme="minorBidi"/>
          <w:b/>
          <w:bCs/>
          <w:kern w:val="44"/>
          <w:sz w:val="32"/>
          <w:szCs w:val="32"/>
          <w:lang w:val="en-US" w:eastAsia="zh-CN" w:bidi="ar-SA"/>
        </w:rPr>
      </w:pPr>
      <w:bookmarkStart w:id="23" w:name="_Toc12546"/>
      <w:bookmarkStart w:id="24" w:name="_Toc24402"/>
      <w:bookmarkStart w:id="25" w:name="_Toc27978"/>
      <w:r>
        <w:rPr>
          <w:rFonts w:hint="eastAsia" w:eastAsia="黑体" w:asciiTheme="minorHAnsi" w:hAnsiTheme="minorHAnsi" w:cstheme="minorBidi"/>
          <w:b/>
          <w:bCs/>
          <w:kern w:val="44"/>
          <w:sz w:val="32"/>
          <w:szCs w:val="32"/>
          <w:lang w:val="en-US" w:eastAsia="zh-CN" w:bidi="ar-SA"/>
        </w:rPr>
        <w:t>成长发生在天地间——湖北红安推进特色劳动教育</w:t>
      </w:r>
      <w:bookmarkEnd w:id="23"/>
      <w:bookmarkEnd w:id="24"/>
      <w:bookmarkEnd w:id="25"/>
    </w:p>
    <w:p>
      <w:pPr>
        <w:keepNext w:val="0"/>
        <w:keepLines w:val="0"/>
        <w:pageBreakBefore w:val="0"/>
        <w:widowControl w:val="0"/>
        <w:kinsoku/>
        <w:wordWrap/>
        <w:overflowPunct/>
        <w:topLinePunct w:val="0"/>
        <w:autoSpaceDE/>
        <w:autoSpaceDN/>
        <w:bidi w:val="0"/>
        <w:adjustRightInd w:val="0"/>
        <w:snapToGrid w:val="0"/>
        <w:spacing w:line="440" w:lineRule="exact"/>
        <w:ind w:left="0" w:leftChars="0"/>
        <w:jc w:val="center"/>
        <w:textAlignment w:val="auto"/>
        <w:outlineLvl w:val="0"/>
        <w:rPr>
          <w:rFonts w:hint="default" w:eastAsia="黑体" w:asciiTheme="minorHAnsi" w:hAnsiTheme="minorHAnsi" w:cstheme="minorBidi"/>
          <w:b/>
          <w:bCs/>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楷体" w:hAnsi="楷体" w:eastAsia="楷体" w:cs="楷体"/>
          <w:bCs/>
          <w:color w:val="000000"/>
          <w:sz w:val="24"/>
          <w:szCs w:val="24"/>
          <w:lang w:val="en-US" w:eastAsia="zh-CN"/>
        </w:rPr>
      </w:pPr>
      <w:r>
        <w:rPr>
          <w:rFonts w:hint="eastAsia" w:ascii="楷体" w:hAnsi="楷体" w:eastAsia="楷体" w:cs="楷体"/>
          <w:b/>
          <w:bCs/>
          <w:color w:val="000000"/>
          <w:sz w:val="24"/>
          <w:szCs w:val="24"/>
        </w:rPr>
        <w:t>推荐人：</w:t>
      </w:r>
      <w:r>
        <w:rPr>
          <w:rFonts w:hint="eastAsia" w:ascii="楷体" w:hAnsi="楷体" w:eastAsia="楷体" w:cs="楷体"/>
          <w:bCs/>
          <w:color w:val="000000"/>
          <w:sz w:val="24"/>
          <w:szCs w:val="24"/>
          <w:lang w:val="en-US" w:eastAsia="zh-CN"/>
        </w:rPr>
        <w:t>高春月</w:t>
      </w:r>
    </w:p>
    <w:p>
      <w:pPr>
        <w:pStyle w:val="14"/>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楷体" w:hAnsi="楷体" w:eastAsia="楷体" w:cs="楷体"/>
          <w:bCs/>
          <w:color w:val="000000"/>
          <w:sz w:val="24"/>
          <w:szCs w:val="24"/>
          <w:lang w:val="en-US" w:eastAsia="zh-CN"/>
        </w:rPr>
      </w:pPr>
      <w:r>
        <w:rPr>
          <w:rFonts w:hint="eastAsia" w:ascii="楷体" w:hAnsi="楷体" w:eastAsia="楷体" w:cs="楷体"/>
          <w:b/>
          <w:bCs/>
          <w:color w:val="000000"/>
          <w:sz w:val="24"/>
          <w:szCs w:val="24"/>
        </w:rPr>
        <w:t>推荐单位</w:t>
      </w:r>
      <w:r>
        <w:rPr>
          <w:rFonts w:hint="eastAsia" w:ascii="楷体" w:hAnsi="楷体" w:eastAsia="楷体" w:cs="楷体"/>
          <w:b/>
          <w:bCs w:val="0"/>
          <w:color w:val="000000"/>
          <w:sz w:val="24"/>
          <w:szCs w:val="24"/>
          <w:lang w:val="en-US" w:eastAsia="zh-CN"/>
        </w:rPr>
        <w:t>：</w:t>
      </w:r>
      <w:r>
        <w:rPr>
          <w:rFonts w:hint="eastAsia" w:ascii="楷体" w:hAnsi="楷体" w:eastAsia="楷体" w:cs="楷体"/>
          <w:bCs/>
          <w:color w:val="000000"/>
          <w:sz w:val="24"/>
          <w:szCs w:val="24"/>
          <w:lang w:val="en-US" w:eastAsia="zh-CN"/>
        </w:rPr>
        <w:t>发展规划处·民办高等教育研究所</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楷体" w:hAnsi="楷体" w:eastAsia="楷体" w:cs="楷体"/>
          <w:bCs/>
          <w:color w:val="000000"/>
          <w:sz w:val="24"/>
          <w:szCs w:val="24"/>
          <w:lang w:val="en-US" w:eastAsia="zh-CN"/>
        </w:rPr>
      </w:pPr>
      <w:r>
        <w:rPr>
          <w:rFonts w:hint="eastAsia" w:ascii="楷体" w:hAnsi="楷体" w:eastAsia="楷体" w:cs="楷体"/>
          <w:b/>
          <w:bCs/>
          <w:color w:val="000000"/>
          <w:sz w:val="24"/>
          <w:szCs w:val="24"/>
        </w:rPr>
        <w:t>推荐审核人：</w:t>
      </w:r>
      <w:r>
        <w:rPr>
          <w:rFonts w:hint="eastAsia" w:ascii="楷体" w:hAnsi="楷体" w:eastAsia="楷体" w:cs="楷体"/>
          <w:color w:val="000000"/>
          <w:kern w:val="0"/>
          <w:sz w:val="24"/>
          <w:szCs w:val="24"/>
          <w:lang w:val="en-US" w:eastAsia="zh-CN" w:bidi="ar-SA"/>
        </w:rPr>
        <w:t>徐婷婷</w:t>
      </w:r>
    </w:p>
    <w:p>
      <w:pPr>
        <w:pStyle w:val="14"/>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楷体" w:hAnsi="楷体" w:eastAsia="楷体" w:cs="楷体"/>
          <w:bCs/>
          <w:color w:val="000000"/>
          <w:sz w:val="24"/>
          <w:szCs w:val="24"/>
          <w:lang w:val="en-US" w:eastAsia="zh-CN"/>
        </w:rPr>
      </w:pPr>
      <w:r>
        <w:rPr>
          <w:rFonts w:hint="eastAsia" w:ascii="楷体" w:hAnsi="楷体" w:eastAsia="楷体" w:cs="楷体"/>
          <w:b/>
          <w:bCs/>
          <w:color w:val="000000"/>
          <w:sz w:val="24"/>
          <w:szCs w:val="24"/>
        </w:rPr>
        <w:t>推荐理由或点评：</w:t>
      </w:r>
      <w:r>
        <w:rPr>
          <w:rFonts w:hint="eastAsia" w:ascii="楷体" w:hAnsi="楷体" w:eastAsia="楷体" w:cs="楷体"/>
          <w:sz w:val="24"/>
          <w:szCs w:val="24"/>
        </w:rPr>
        <w:t>日前，“武汉生物工程学院劳动实践示范园”获批湖北省第一批中小学生劳动教育实践基地，这是湖北省第一所高校创建的中小学生劳动教育实践基地。自建校以来，我校便高度重视劳动实践教育，劳动传统优良，劳动氛围浓郁，劳动场地丰富，体制机制健全，形成了独具特色的劳动教育实践模式。我校“十四五”事业发展规划明确，要打造文化建设品牌，持续开展农事体验劳动、校园公益劳动、勤工助学劳动及生活技能培训等，塑造劳动教育行为文化品牌。如何将我校劳动教育传统优势和特色经验与开展中小学生劳动教育实践活动有机结合，有效融合，良性发展，是摆在我们面前的大课题。</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楷体" w:hAnsi="楷体" w:eastAsia="楷体" w:cs="楷体"/>
          <w:bCs/>
          <w:color w:val="000000"/>
          <w:sz w:val="24"/>
          <w:szCs w:val="24"/>
          <w:lang w:val="en-US" w:eastAsia="zh-CN"/>
        </w:rPr>
      </w:pPr>
      <w:r>
        <w:rPr>
          <w:rFonts w:hint="eastAsia" w:ascii="楷体" w:hAnsi="楷体" w:eastAsia="楷体" w:cs="楷体"/>
          <w:b/>
          <w:bCs/>
          <w:color w:val="000000"/>
          <w:sz w:val="24"/>
          <w:szCs w:val="24"/>
        </w:rPr>
        <w:t>来源：</w:t>
      </w:r>
      <w:r>
        <w:rPr>
          <w:rFonts w:hint="eastAsia" w:ascii="楷体" w:hAnsi="楷体" w:eastAsia="楷体" w:cs="楷体"/>
          <w:bCs/>
          <w:color w:val="000000"/>
          <w:sz w:val="24"/>
          <w:szCs w:val="24"/>
          <w:lang w:val="en-US" w:eastAsia="zh-CN"/>
        </w:rPr>
        <w:t>湖北省教育厅</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楷体" w:hAnsi="楷体" w:eastAsia="楷体" w:cs="楷体"/>
          <w:b/>
          <w:bCs/>
          <w:color w:val="000000"/>
          <w:sz w:val="24"/>
          <w:szCs w:val="24"/>
        </w:rPr>
      </w:pPr>
      <w:r>
        <w:rPr>
          <w:rFonts w:hint="eastAsia" w:ascii="楷体" w:hAnsi="楷体" w:eastAsia="楷体" w:cs="楷体"/>
          <w:b/>
          <w:bCs/>
          <w:color w:val="000000"/>
          <w:sz w:val="24"/>
          <w:szCs w:val="24"/>
        </w:rPr>
        <w:t>网址：</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http://jyt.hubei.gov.cn/bmdt/gxhptlm/cxal/202111/t20211118_3869850.shtml</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rPr>
          <w:rFonts w:hint="eastAsia" w:ascii="楷体" w:hAnsi="楷体" w:eastAsia="楷体" w:cs="楷体"/>
          <w:bCs/>
          <w:color w:val="000000"/>
          <w:sz w:val="24"/>
          <w:szCs w:val="24"/>
        </w:rPr>
      </w:pPr>
      <w:r>
        <w:rPr>
          <w:rFonts w:hint="eastAsia" w:ascii="楷体" w:hAnsi="楷体" w:eastAsia="楷体" w:cs="楷体"/>
          <w:b/>
          <w:bCs/>
          <w:color w:val="000000"/>
          <w:sz w:val="24"/>
          <w:szCs w:val="24"/>
        </w:rPr>
        <w:t>本文发表时间：</w:t>
      </w:r>
      <w:r>
        <w:rPr>
          <w:rFonts w:hint="eastAsia" w:ascii="楷体" w:hAnsi="楷体" w:eastAsia="楷体" w:cs="楷体"/>
          <w:bCs/>
          <w:color w:val="000000"/>
          <w:sz w:val="24"/>
          <w:szCs w:val="24"/>
        </w:rPr>
        <w:t>202</w:t>
      </w:r>
      <w:r>
        <w:rPr>
          <w:rFonts w:hint="eastAsia" w:ascii="楷体" w:hAnsi="楷体" w:eastAsia="楷体" w:cs="楷体"/>
          <w:bCs/>
          <w:color w:val="000000"/>
          <w:sz w:val="24"/>
          <w:szCs w:val="24"/>
          <w:lang w:val="en-US" w:eastAsia="zh-CN"/>
        </w:rPr>
        <w:t>2</w:t>
      </w:r>
      <w:r>
        <w:rPr>
          <w:rFonts w:hint="eastAsia" w:ascii="楷体" w:hAnsi="楷体" w:eastAsia="楷体" w:cs="楷体"/>
          <w:bCs/>
          <w:color w:val="000000"/>
          <w:sz w:val="24"/>
          <w:szCs w:val="24"/>
        </w:rPr>
        <w:t>年</w:t>
      </w:r>
      <w:r>
        <w:rPr>
          <w:rFonts w:hint="eastAsia" w:ascii="楷体" w:hAnsi="楷体" w:eastAsia="楷体" w:cs="楷体"/>
          <w:bCs/>
          <w:color w:val="000000"/>
          <w:sz w:val="24"/>
          <w:szCs w:val="24"/>
          <w:lang w:val="en-US" w:eastAsia="zh-CN"/>
        </w:rPr>
        <w:t>3</w:t>
      </w:r>
      <w:r>
        <w:rPr>
          <w:rFonts w:hint="eastAsia" w:ascii="楷体" w:hAnsi="楷体" w:eastAsia="楷体" w:cs="楷体"/>
          <w:bCs/>
          <w:color w:val="000000"/>
          <w:sz w:val="24"/>
          <w:szCs w:val="24"/>
        </w:rPr>
        <w:t>月</w:t>
      </w:r>
      <w:r>
        <w:rPr>
          <w:rFonts w:hint="eastAsia" w:ascii="楷体" w:hAnsi="楷体" w:eastAsia="楷体" w:cs="楷体"/>
          <w:bCs/>
          <w:color w:val="000000"/>
          <w:sz w:val="24"/>
          <w:szCs w:val="24"/>
          <w:lang w:val="en-US" w:eastAsia="zh-CN"/>
        </w:rPr>
        <w:t>1</w:t>
      </w:r>
      <w:r>
        <w:rPr>
          <w:rFonts w:hint="eastAsia" w:ascii="楷体" w:hAnsi="楷体" w:eastAsia="楷体" w:cs="楷体"/>
          <w:bCs/>
          <w:color w:val="000000"/>
          <w:sz w:val="24"/>
          <w:szCs w:val="24"/>
        </w:rPr>
        <w:t>日</w:t>
      </w:r>
    </w:p>
    <w:p>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both"/>
        <w:textAlignment w:val="auto"/>
        <w:rPr>
          <w:rFonts w:hint="eastAsia" w:ascii="楷体" w:hAnsi="楷体" w:eastAsia="楷体" w:cs="楷体"/>
          <w:bCs/>
          <w:color w:val="000000"/>
          <w:sz w:val="24"/>
          <w:szCs w:val="24"/>
        </w:rPr>
      </w:pPr>
      <w:r>
        <w:rPr>
          <w:rFonts w:hint="eastAsia" w:ascii="楷体" w:hAnsi="楷体" w:eastAsia="楷体" w:cs="楷体"/>
          <w:b/>
          <w:bCs/>
          <w:color w:val="000000"/>
          <w:sz w:val="24"/>
          <w:szCs w:val="24"/>
        </w:rPr>
        <w:t>本文推荐时间：</w:t>
      </w:r>
      <w:r>
        <w:rPr>
          <w:rFonts w:hint="eastAsia" w:ascii="楷体" w:hAnsi="楷体" w:eastAsia="楷体" w:cs="楷体"/>
          <w:bCs/>
          <w:color w:val="000000"/>
          <w:sz w:val="24"/>
          <w:szCs w:val="24"/>
        </w:rPr>
        <w:t>2022年</w:t>
      </w:r>
      <w:r>
        <w:rPr>
          <w:rFonts w:hint="eastAsia" w:ascii="楷体" w:hAnsi="楷体" w:eastAsia="楷体" w:cs="楷体"/>
          <w:bCs/>
          <w:color w:val="000000"/>
          <w:sz w:val="24"/>
          <w:szCs w:val="24"/>
          <w:lang w:val="en-US" w:eastAsia="zh-CN"/>
        </w:rPr>
        <w:t>3</w:t>
      </w:r>
      <w:r>
        <w:rPr>
          <w:rFonts w:hint="eastAsia" w:ascii="楷体" w:hAnsi="楷体" w:eastAsia="楷体" w:cs="楷体"/>
          <w:bCs/>
          <w:color w:val="000000"/>
          <w:sz w:val="24"/>
          <w:szCs w:val="24"/>
        </w:rPr>
        <w:t>月</w:t>
      </w:r>
      <w:r>
        <w:rPr>
          <w:rFonts w:hint="eastAsia" w:ascii="楷体" w:hAnsi="楷体" w:eastAsia="楷体" w:cs="楷体"/>
          <w:bCs/>
          <w:color w:val="000000"/>
          <w:sz w:val="24"/>
          <w:szCs w:val="24"/>
          <w:lang w:val="en-US" w:eastAsia="zh-CN"/>
        </w:rPr>
        <w:t>7</w:t>
      </w:r>
      <w:r>
        <w:rPr>
          <w:rFonts w:hint="eastAsia" w:ascii="楷体" w:hAnsi="楷体" w:eastAsia="楷体" w:cs="楷体"/>
          <w:bCs/>
          <w:color w:val="000000"/>
          <w:sz w:val="24"/>
          <w:szCs w:val="24"/>
        </w:rPr>
        <w:t>日</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楷体" w:hAnsi="楷体" w:eastAsia="楷体" w:cs="楷体"/>
          <w:b/>
          <w:bCs/>
          <w:color w:val="000000"/>
          <w:sz w:val="24"/>
          <w:szCs w:val="24"/>
        </w:rPr>
      </w:pP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春天，师生一起开垦、播种；夏天，师生一起锄草、除虫；秋天，师生一起采摘果实，感恩土地的馈赠……在湖北省红安县这片浸润革命烈士鲜血的“红土地”上，一场场劳动教育，随着四季流转自然生成。</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新时代的劳动教育应该是什么样子？在“双减”政策的背景下，红安县劳动教育探索出了哪些经验？如何形成红安特色的劳动教育课程体系并加以推广？如何引领劳动教育课程有效推进与常态化实施？记者就这些问题进行了采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482" w:firstLineChars="200"/>
        <w:jc w:val="both"/>
        <w:textAlignment w:val="auto"/>
        <w:rPr>
          <w:rFonts w:hint="eastAsia" w:ascii="宋体" w:hAnsi="宋体" w:eastAsia="宋体" w:cs="宋体"/>
          <w:sz w:val="24"/>
          <w:szCs w:val="24"/>
        </w:rPr>
      </w:pPr>
      <w:r>
        <w:rPr>
          <w:rStyle w:val="11"/>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依托“1+N”课程实践，让劳动教育更立体</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天刚微微亮，我便来到厨房，先给西红柿‘洗洗澡’，再切成小块放进碗里；接着我把鸡蛋打散、搅匀，之后把油烧热，将鸡蛋倒进锅里翻炒，最后倒进西红柿。爸爸妈妈起床后，看见这盘西红柿炒鸡蛋，开心地笑了……”红安县永河小学五年级（1）班学生黎荣坤在《班级劳动日记》里生动描绘了这样一个温馨的画面。</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像这样的故事，在红安县每所学校每天都在发生。记者了解到，红安县各所中小学立足校情，挖掘特色，积极开展劳动教育实践活动，其课程建设经验先后在黄冈市、湖北省劳动教育培训会上交流。日前，在2021中国教育科学论坛上，红安县教育科学研究院副主任余向红以《红安县中小学劳动教育课程实施策略与途径》为题，将红安县劳动教育课程建设的经验推向全国。“依托课题，利用资源，规划先行，系统培训，持续推进。”这就是红安县探索出的推进学校劳动教育课程实施的具体途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记者获悉，红安县现有6所承担或参与省市劳动教育课题实验的学校，由教科院组织实验学校集中研讨，制定了中小学劳动教育课程规划与实施的系列指导意见，并形成了“四大劳动实践项目”：生活服务劳动实践、特色技能劳动实践、学科背景劳动实践、基地生产劳动实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红安县劳动教育资源丰富，类型众多，因此，我们建议学校在进行课程规划时，结合劳动教材，以‘1+N’的方式组合设置课程内容。”余向红说，“‘1+N’中的‘1’，指的是生活服务劳动，这一部分是全县各学校劳动实践课程规划的必选内容。‘1+N’中的‘N’，指的是学校根据实际，自主选择1—2项特色劳动实践课程内容，与生活服务劳动组合，形成本校的劳动实践课程内容板块。”</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“这种课程内容规划方式，既保证了每个学生接受基本的劳动教育，又能形成不同的学校劳动课程特色，让劳动教育更丰富、立体。”余向红表示。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482" w:firstLineChars="200"/>
        <w:jc w:val="both"/>
        <w:textAlignment w:val="auto"/>
        <w:rPr>
          <w:rFonts w:hint="eastAsia" w:ascii="宋体" w:hAnsi="宋体" w:eastAsia="宋体" w:cs="宋体"/>
          <w:sz w:val="24"/>
          <w:szCs w:val="24"/>
        </w:rPr>
      </w:pPr>
      <w:r>
        <w:rPr>
          <w:rStyle w:val="11"/>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立足学生生活，让劳动教育课程落实落地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采摘、分拣、装袋、摆摊、售卖……“一条龙服务”的蔬菜售卖活动，近日在红安县马岗小学如火如荼地上演着。这样“接地气”的劳动课，正是红安县探索出的4种劳动教育实践课型之一。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劳动教育课到底应该怎么上？红安县给出了自己的答案：以学生亲身体验和参与为主要形式的现场实践课；以参观、访问、欣赏、听报告等方式开展的感知欣赏课；以某个具体的劳动技能、方法、工具使用为教学内容的技术指导课；以学生个人或团队的劳动实践经历为主要内容，以交流展示为主要方式的展示分享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此外，据该县教育局基础教育股负责人刘会文介绍，为了保障学校劳动教育课程的落实，各所学校还加强了对学生学习情况的评价。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跟踪评价。以劳动手册（或记录表、档案袋）的方式，一周一记录，一月一交流，一期一展示，一年一总结。这种评价方式重在督促、帮助学生养成劳动习惯，确保劳动实践课程常态化实施。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激励评价。通过评选劳动小能手、作品成果评奖等方式，以奖代评。这种评价的主要功能是用榜样的力量激励学生热爱劳动、创造性劳动，感受劳动的光荣。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即时评价。根据具体劳动技术指标当堂评价，并用以指导学生劳动实践，适合在劳动实践教学时当场使用。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482"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Style w:val="11"/>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立足乡情校情，形成有特色的校本劳动教育课程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植物开出的第一朵花，结出的第一枚果实，都给学生带来莫大的快乐；到了秋天收获的季节，学生们挖红薯、摘花生，忙得不亦乐乎，这就是劳动之美。恰逢其时，四时勤作，让学生在劳动中体悟生活的实质，感悟生命的真谛。”红安县虎门小学教师李佳如此阐释劳动之于学生的意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记者了解到，早在2021年春季，红安县6所实验学校就分别开辟了劳动实践基地，学生种植了花生、大豆、红薯等农作物和黄瓜、辣椒、西红柿等蔬菜。所有学生都完整经历了整地、选种、播种、浇水、松土、除草、施肥的全过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与此同时，在该县劳动教育课程推进策略和规划路线指导下，6所实验学校的核心团队分别进行了劳动教育课程规划和设计，形成各具特色的校本劳动教育课程：红安县永河镇所产的豆制品为国家级地标产品，永河小学开发的特色劳动教育课程就是“豆课程”；太平桥小学聘请国家非物质文化遗产——红安绣活传人刘寿仙老师教学生学刺绣，制作五彩缤纷的“宝葫芦”；马岗小学则把设计与制作类技能教育作为劳动教育内容进行开发……</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pPr>
      <w:r>
        <w:rPr>
          <w:rFonts w:hint="eastAsia" w:ascii="宋体" w:hAnsi="宋体" w:eastAsia="宋体" w:cs="宋体"/>
          <w:i w:val="0"/>
          <w:iCs w:val="0"/>
          <w:caps w:val="0"/>
          <w:color w:val="333333"/>
          <w:spacing w:val="0"/>
          <w:sz w:val="24"/>
          <w:szCs w:val="24"/>
          <w:shd w:val="clear" w:fill="FFFFFF"/>
        </w:rPr>
        <w:t>学习不止于课堂，成长发生在天地间。“劳动教育从理论到实践是一个艰难的过程，但只要合理设置，长期坚持，劳动课程的育人功能是可以伴随一生的。”该县教育局党组书记、局长曾红波表示，将继续挖掘、整合地域资源，探索劳动教育新模式，发挥劳动教育综合育人功能，为学生的全面成长奠基。</w:t>
      </w:r>
    </w:p>
    <w:p>
      <w:pPr>
        <w:pStyle w:val="2"/>
        <w:pageBreakBefore w:val="0"/>
        <w:widowControl w:val="0"/>
        <w:kinsoku/>
        <w:wordWrap/>
        <w:overflowPunct/>
        <w:topLinePunct w:val="0"/>
        <w:autoSpaceDE/>
        <w:autoSpaceDN/>
        <w:bidi w:val="0"/>
        <w:adjustRightInd w:val="0"/>
        <w:snapToGrid w:val="0"/>
        <w:spacing w:after="0" w:line="440" w:lineRule="exact"/>
        <w:ind w:left="0" w:leftChars="0"/>
        <w:jc w:val="center"/>
        <w:textAlignment w:val="auto"/>
        <w:rPr>
          <w:b/>
          <w:bCs/>
          <w:sz w:val="32"/>
          <w:szCs w:val="32"/>
        </w:rPr>
      </w:pPr>
    </w:p>
    <w:p>
      <w:pPr>
        <w:rPr>
          <w:rFonts w:hint="eastAsia" w:ascii="黑体" w:hAnsi="黑体" w:eastAsia="黑体" w:cs="黑体"/>
          <w:b/>
          <w:bCs/>
          <w:sz w:val="32"/>
          <w:szCs w:val="32"/>
        </w:rPr>
      </w:pPr>
      <w:bookmarkStart w:id="26" w:name="_Toc25277"/>
      <w:r>
        <w:rPr>
          <w:rFonts w:hint="eastAsia" w:ascii="黑体" w:hAnsi="黑体" w:eastAsia="黑体" w:cs="黑体"/>
          <w:b/>
          <w:bCs/>
          <w:sz w:val="32"/>
          <w:szCs w:val="32"/>
        </w:rPr>
        <w:t>【</w:t>
      </w:r>
      <w:r>
        <w:rPr>
          <w:rFonts w:hint="eastAsia" w:ascii="黑体" w:hAnsi="黑体" w:eastAsia="黑体" w:cs="黑体"/>
          <w:b/>
          <w:bCs/>
          <w:sz w:val="32"/>
          <w:szCs w:val="32"/>
          <w:lang w:eastAsia="zh-CN"/>
        </w:rPr>
        <w:t>发展概况</w:t>
      </w:r>
      <w:r>
        <w:rPr>
          <w:rFonts w:hint="eastAsia" w:ascii="黑体" w:hAnsi="黑体" w:eastAsia="黑体" w:cs="黑体"/>
          <w:b/>
          <w:bCs/>
          <w:sz w:val="32"/>
          <w:szCs w:val="32"/>
        </w:rPr>
        <w:t>】</w:t>
      </w:r>
      <w:bookmarkEnd w:id="26"/>
    </w:p>
    <w:p>
      <w:pPr>
        <w:pStyle w:val="4"/>
        <w:keepNext/>
        <w:keepLines/>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黑体" w:hAnsi="黑体" w:eastAsia="黑体" w:cs="黑体"/>
          <w:sz w:val="32"/>
          <w:szCs w:val="32"/>
          <w:lang w:val="en-US" w:eastAsia="zh-CN"/>
        </w:rPr>
      </w:pPr>
    </w:p>
    <w:p>
      <w:pPr>
        <w:pStyle w:val="4"/>
        <w:keepNext/>
        <w:keepLines/>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黑体" w:hAnsi="黑体" w:eastAsia="黑体" w:cs="黑体"/>
          <w:sz w:val="32"/>
          <w:szCs w:val="32"/>
          <w:lang w:val="en-US" w:eastAsia="zh-CN"/>
        </w:rPr>
      </w:pPr>
      <w:bookmarkStart w:id="27" w:name="_Toc6233"/>
      <w:bookmarkStart w:id="28" w:name="_Toc27524"/>
      <w:bookmarkStart w:id="29" w:name="_Toc20269"/>
      <w:r>
        <w:rPr>
          <w:rFonts w:hint="eastAsia" w:ascii="黑体" w:hAnsi="黑体" w:eastAsia="黑体" w:cs="黑体"/>
          <w:sz w:val="32"/>
          <w:szCs w:val="32"/>
          <w:lang w:val="en-US" w:eastAsia="zh-CN"/>
        </w:rPr>
        <w:t>2021年全国教育事业统计主要结果</w:t>
      </w:r>
      <w:bookmarkEnd w:id="27"/>
      <w:bookmarkEnd w:id="28"/>
      <w:bookmarkEnd w:id="29"/>
    </w:p>
    <w:p>
      <w:pPr>
        <w:rPr>
          <w:rFonts w:hint="eastAsia"/>
        </w:rPr>
      </w:pPr>
    </w:p>
    <w:p>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both"/>
        <w:textAlignment w:val="auto"/>
        <w:rPr>
          <w:rFonts w:hint="default" w:ascii="楷体" w:hAnsi="楷体" w:eastAsia="楷体" w:cs="楷体"/>
          <w:bCs/>
          <w:color w:val="000000"/>
          <w:sz w:val="24"/>
          <w:szCs w:val="24"/>
          <w:lang w:val="en-US" w:eastAsia="zh-CN"/>
        </w:rPr>
      </w:pPr>
      <w:r>
        <w:rPr>
          <w:rFonts w:hint="eastAsia" w:ascii="楷体" w:hAnsi="楷体" w:eastAsia="楷体" w:cs="楷体"/>
          <w:b/>
          <w:bCs/>
          <w:color w:val="000000"/>
          <w:sz w:val="24"/>
          <w:szCs w:val="24"/>
        </w:rPr>
        <w:t>推荐人：</w:t>
      </w:r>
      <w:r>
        <w:rPr>
          <w:rFonts w:hint="eastAsia" w:ascii="楷体" w:hAnsi="楷体" w:eastAsia="楷体" w:cs="楷体"/>
          <w:bCs/>
          <w:color w:val="000000"/>
          <w:sz w:val="24"/>
          <w:szCs w:val="24"/>
          <w:lang w:val="en-US" w:eastAsia="zh-CN"/>
        </w:rPr>
        <w:t>王洁</w:t>
      </w:r>
    </w:p>
    <w:p>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both"/>
        <w:textAlignment w:val="auto"/>
        <w:rPr>
          <w:rFonts w:hint="eastAsia" w:ascii="楷体" w:hAnsi="楷体" w:eastAsia="楷体" w:cs="楷体"/>
          <w:bCs/>
          <w:color w:val="000000"/>
          <w:sz w:val="24"/>
          <w:szCs w:val="24"/>
          <w:lang w:val="en-US" w:eastAsia="zh-CN"/>
        </w:rPr>
      </w:pPr>
      <w:r>
        <w:rPr>
          <w:rFonts w:hint="eastAsia" w:ascii="楷体" w:hAnsi="楷体" w:eastAsia="楷体" w:cs="楷体"/>
          <w:b/>
          <w:bCs/>
          <w:color w:val="000000"/>
          <w:sz w:val="24"/>
          <w:szCs w:val="24"/>
        </w:rPr>
        <w:t>推荐单位</w:t>
      </w:r>
      <w:r>
        <w:rPr>
          <w:rFonts w:hint="eastAsia" w:ascii="楷体" w:hAnsi="楷体" w:eastAsia="楷体" w:cs="楷体"/>
          <w:b/>
          <w:bCs w:val="0"/>
          <w:color w:val="000000"/>
          <w:sz w:val="24"/>
          <w:szCs w:val="24"/>
          <w:lang w:val="en-US" w:eastAsia="zh-CN"/>
        </w:rPr>
        <w:t>：</w:t>
      </w:r>
      <w:r>
        <w:rPr>
          <w:rFonts w:hint="eastAsia" w:ascii="楷体" w:hAnsi="楷体" w:eastAsia="楷体" w:cs="楷体"/>
          <w:bCs/>
          <w:color w:val="000000"/>
          <w:sz w:val="24"/>
          <w:szCs w:val="24"/>
          <w:lang w:val="en-US" w:eastAsia="zh-CN"/>
        </w:rPr>
        <w:t>发展规划处·民办高等教育研究所</w:t>
      </w:r>
    </w:p>
    <w:p>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both"/>
        <w:textAlignment w:val="auto"/>
        <w:rPr>
          <w:rFonts w:hint="default" w:ascii="楷体" w:hAnsi="楷体" w:eastAsia="楷体" w:cs="楷体"/>
          <w:color w:val="000000"/>
          <w:kern w:val="0"/>
          <w:sz w:val="24"/>
          <w:szCs w:val="24"/>
          <w:lang w:val="en-US" w:eastAsia="zh-CN" w:bidi="ar-SA"/>
        </w:rPr>
      </w:pPr>
      <w:r>
        <w:rPr>
          <w:rFonts w:hint="eastAsia" w:ascii="楷体" w:hAnsi="楷体" w:eastAsia="楷体" w:cs="楷体"/>
          <w:b/>
          <w:bCs/>
          <w:color w:val="000000"/>
          <w:sz w:val="24"/>
          <w:szCs w:val="24"/>
        </w:rPr>
        <w:t>推荐审核人：</w:t>
      </w:r>
      <w:r>
        <w:rPr>
          <w:rFonts w:hint="eastAsia" w:ascii="楷体" w:hAnsi="楷体" w:eastAsia="楷体" w:cs="楷体"/>
          <w:color w:val="000000"/>
          <w:kern w:val="0"/>
          <w:sz w:val="24"/>
          <w:szCs w:val="24"/>
          <w:lang w:val="en-US" w:eastAsia="zh-CN" w:bidi="ar-SA"/>
        </w:rPr>
        <w:t>徐婷婷</w:t>
      </w: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both"/>
        <w:textAlignment w:val="auto"/>
        <w:rPr>
          <w:rFonts w:hint="eastAsia" w:ascii="楷体" w:hAnsi="楷体" w:eastAsia="楷体" w:cs="楷体"/>
          <w:color w:val="000000"/>
          <w:kern w:val="0"/>
          <w:sz w:val="24"/>
          <w:szCs w:val="24"/>
          <w:lang w:val="en-US" w:eastAsia="zh-CN" w:bidi="ar-SA"/>
        </w:rPr>
      </w:pPr>
      <w:r>
        <w:rPr>
          <w:rFonts w:hint="eastAsia" w:ascii="楷体" w:hAnsi="楷体" w:eastAsia="楷体" w:cs="楷体"/>
          <w:b/>
          <w:bCs/>
          <w:color w:val="000000"/>
          <w:sz w:val="24"/>
          <w:szCs w:val="24"/>
        </w:rPr>
        <w:t>推荐理由或点评：</w:t>
      </w:r>
      <w:r>
        <w:rPr>
          <w:rFonts w:hint="eastAsia" w:ascii="楷体" w:hAnsi="楷体" w:eastAsia="楷体" w:cs="楷体"/>
          <w:color w:val="000000"/>
          <w:kern w:val="0"/>
          <w:sz w:val="24"/>
          <w:szCs w:val="24"/>
          <w:lang w:val="en-US" w:eastAsia="zh-CN" w:bidi="ar-SA"/>
        </w:rPr>
        <w:t>教育统计数据是教育管理和科学决策的重要依据，对于正确分析教育事业的发展状况，保障教育事业的科学发展具有十分重要的意义。</w:t>
      </w:r>
    </w:p>
    <w:p>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both"/>
        <w:textAlignment w:val="auto"/>
        <w:rPr>
          <w:rFonts w:hint="default" w:ascii="楷体" w:hAnsi="楷体" w:eastAsia="楷体" w:cs="楷体"/>
          <w:bCs/>
          <w:color w:val="000000"/>
          <w:sz w:val="24"/>
          <w:szCs w:val="24"/>
          <w:lang w:val="en-US" w:eastAsia="zh-CN"/>
        </w:rPr>
      </w:pPr>
      <w:r>
        <w:rPr>
          <w:rFonts w:hint="eastAsia" w:ascii="楷体" w:hAnsi="楷体" w:eastAsia="楷体" w:cs="楷体"/>
          <w:b/>
          <w:bCs/>
          <w:color w:val="000000"/>
          <w:sz w:val="24"/>
          <w:szCs w:val="24"/>
        </w:rPr>
        <w:t>来源：</w:t>
      </w:r>
      <w:r>
        <w:rPr>
          <w:rFonts w:hint="eastAsia" w:ascii="楷体" w:hAnsi="楷体" w:eastAsia="楷体" w:cs="楷体"/>
          <w:bCs/>
          <w:color w:val="000000"/>
          <w:sz w:val="24"/>
          <w:szCs w:val="24"/>
          <w:lang w:val="en-US" w:eastAsia="zh-CN"/>
        </w:rPr>
        <w:t>教育部</w:t>
      </w:r>
    </w:p>
    <w:p>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both"/>
        <w:textAlignment w:val="auto"/>
        <w:rPr>
          <w:rFonts w:hint="eastAsia" w:ascii="楷体" w:hAnsi="楷体" w:eastAsia="楷体" w:cs="楷体"/>
          <w:b/>
          <w:bCs/>
          <w:color w:val="000000"/>
          <w:sz w:val="24"/>
          <w:szCs w:val="24"/>
        </w:rPr>
      </w:pPr>
      <w:r>
        <w:rPr>
          <w:rFonts w:hint="eastAsia" w:ascii="楷体" w:hAnsi="楷体" w:eastAsia="楷体" w:cs="楷体"/>
          <w:b/>
          <w:bCs/>
          <w:color w:val="000000"/>
          <w:sz w:val="24"/>
          <w:szCs w:val="24"/>
        </w:rPr>
        <w:t>网址：</w:t>
      </w:r>
    </w:p>
    <w:p>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both"/>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http://www.moe.gov.cn/jyb_xwfb/gzdt_gzdt/s5987/202203/t20220301_603262.html</w:t>
      </w:r>
    </w:p>
    <w:p>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both"/>
        <w:textAlignment w:val="auto"/>
        <w:rPr>
          <w:rFonts w:ascii="楷体" w:hAnsi="楷体" w:eastAsia="楷体" w:cs="楷体"/>
          <w:bCs/>
          <w:color w:val="000000"/>
          <w:sz w:val="24"/>
          <w:szCs w:val="24"/>
        </w:rPr>
      </w:pPr>
      <w:r>
        <w:rPr>
          <w:rFonts w:hint="eastAsia" w:ascii="楷体" w:hAnsi="楷体" w:eastAsia="楷体" w:cs="楷体"/>
          <w:b/>
          <w:bCs/>
          <w:color w:val="000000"/>
          <w:sz w:val="24"/>
          <w:szCs w:val="24"/>
        </w:rPr>
        <w:t>本文发表时间：</w:t>
      </w:r>
      <w:r>
        <w:rPr>
          <w:rFonts w:hint="eastAsia" w:ascii="楷体" w:hAnsi="楷体" w:eastAsia="楷体" w:cs="楷体"/>
          <w:bCs/>
          <w:color w:val="000000"/>
          <w:sz w:val="24"/>
          <w:szCs w:val="24"/>
        </w:rPr>
        <w:t>202</w:t>
      </w:r>
      <w:r>
        <w:rPr>
          <w:rFonts w:hint="eastAsia" w:ascii="楷体" w:hAnsi="楷体" w:eastAsia="楷体" w:cs="楷体"/>
          <w:bCs/>
          <w:color w:val="000000"/>
          <w:sz w:val="24"/>
          <w:szCs w:val="24"/>
          <w:lang w:val="en-US" w:eastAsia="zh-CN"/>
        </w:rPr>
        <w:t>2</w:t>
      </w:r>
      <w:r>
        <w:rPr>
          <w:rFonts w:hint="eastAsia" w:ascii="楷体" w:hAnsi="楷体" w:eastAsia="楷体" w:cs="楷体"/>
          <w:bCs/>
          <w:color w:val="000000"/>
          <w:sz w:val="24"/>
          <w:szCs w:val="24"/>
        </w:rPr>
        <w:t>年</w:t>
      </w:r>
      <w:r>
        <w:rPr>
          <w:rFonts w:hint="eastAsia" w:ascii="楷体" w:hAnsi="楷体" w:eastAsia="楷体" w:cs="楷体"/>
          <w:bCs/>
          <w:color w:val="000000"/>
          <w:sz w:val="24"/>
          <w:szCs w:val="24"/>
          <w:lang w:val="en-US" w:eastAsia="zh-CN"/>
        </w:rPr>
        <w:t>3</w:t>
      </w:r>
      <w:r>
        <w:rPr>
          <w:rFonts w:hint="eastAsia" w:ascii="楷体" w:hAnsi="楷体" w:eastAsia="楷体" w:cs="楷体"/>
          <w:bCs/>
          <w:color w:val="000000"/>
          <w:sz w:val="24"/>
          <w:szCs w:val="24"/>
        </w:rPr>
        <w:t>月</w:t>
      </w:r>
      <w:r>
        <w:rPr>
          <w:rFonts w:hint="eastAsia" w:ascii="楷体" w:hAnsi="楷体" w:eastAsia="楷体" w:cs="楷体"/>
          <w:bCs/>
          <w:color w:val="000000"/>
          <w:sz w:val="24"/>
          <w:szCs w:val="24"/>
          <w:lang w:val="en-US" w:eastAsia="zh-CN"/>
        </w:rPr>
        <w:t>1</w:t>
      </w:r>
      <w:r>
        <w:rPr>
          <w:rFonts w:hint="eastAsia" w:ascii="楷体" w:hAnsi="楷体" w:eastAsia="楷体" w:cs="楷体"/>
          <w:bCs/>
          <w:color w:val="000000"/>
          <w:sz w:val="24"/>
          <w:szCs w:val="24"/>
        </w:rPr>
        <w:t>日</w:t>
      </w:r>
    </w:p>
    <w:p>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both"/>
        <w:textAlignment w:val="auto"/>
        <w:rPr>
          <w:rFonts w:ascii="楷体" w:hAnsi="楷体" w:eastAsia="楷体" w:cs="楷体"/>
          <w:bCs/>
          <w:color w:val="000000"/>
          <w:sz w:val="24"/>
          <w:szCs w:val="24"/>
        </w:rPr>
      </w:pPr>
      <w:r>
        <w:rPr>
          <w:rFonts w:hint="eastAsia" w:ascii="楷体" w:hAnsi="楷体" w:eastAsia="楷体" w:cs="楷体"/>
          <w:b/>
          <w:bCs/>
          <w:color w:val="000000"/>
          <w:sz w:val="24"/>
          <w:szCs w:val="24"/>
        </w:rPr>
        <w:t>本文推荐时间：</w:t>
      </w:r>
      <w:r>
        <w:rPr>
          <w:rFonts w:hint="eastAsia" w:ascii="楷体" w:hAnsi="楷体" w:eastAsia="楷体" w:cs="楷体"/>
          <w:bCs/>
          <w:color w:val="000000"/>
          <w:sz w:val="24"/>
          <w:szCs w:val="24"/>
        </w:rPr>
        <w:t>2022年</w:t>
      </w:r>
      <w:r>
        <w:rPr>
          <w:rFonts w:hint="eastAsia" w:ascii="楷体" w:hAnsi="楷体" w:eastAsia="楷体" w:cs="楷体"/>
          <w:bCs/>
          <w:color w:val="000000"/>
          <w:sz w:val="24"/>
          <w:szCs w:val="24"/>
          <w:lang w:val="en-US" w:eastAsia="zh-CN"/>
        </w:rPr>
        <w:t>3</w:t>
      </w:r>
      <w:r>
        <w:rPr>
          <w:rFonts w:hint="eastAsia" w:ascii="楷体" w:hAnsi="楷体" w:eastAsia="楷体" w:cs="楷体"/>
          <w:bCs/>
          <w:color w:val="000000"/>
          <w:sz w:val="24"/>
          <w:szCs w:val="24"/>
        </w:rPr>
        <w:t>月</w:t>
      </w:r>
      <w:r>
        <w:rPr>
          <w:rFonts w:hint="eastAsia" w:ascii="楷体" w:hAnsi="楷体" w:eastAsia="楷体" w:cs="楷体"/>
          <w:bCs/>
          <w:color w:val="000000"/>
          <w:sz w:val="24"/>
          <w:szCs w:val="24"/>
          <w:lang w:val="en-US" w:eastAsia="zh-CN"/>
        </w:rPr>
        <w:t>2</w:t>
      </w:r>
      <w:r>
        <w:rPr>
          <w:rFonts w:hint="eastAsia" w:ascii="楷体" w:hAnsi="楷体" w:eastAsia="楷体" w:cs="楷体"/>
          <w:bCs/>
          <w:color w:val="000000"/>
          <w:sz w:val="24"/>
          <w:szCs w:val="24"/>
        </w:rPr>
        <w:t>日</w:t>
      </w:r>
    </w:p>
    <w:p>
      <w:pPr>
        <w:pStyle w:val="14"/>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楷体" w:hAnsi="楷体" w:eastAsia="楷体" w:cs="楷体"/>
          <w:b/>
          <w:bCs/>
          <w:color w:val="000000"/>
          <w:sz w:val="24"/>
          <w:szCs w:val="24"/>
        </w:rPr>
      </w:pP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both"/>
        <w:textAlignment w:val="auto"/>
        <w:rPr>
          <w:rStyle w:val="11"/>
          <w:rFonts w:hint="eastAsia" w:ascii="宋体" w:hAnsi="宋体" w:eastAsia="宋体" w:cs="宋体"/>
          <w:b w:val="0"/>
          <w:bCs/>
          <w:color w:val="auto"/>
          <w:sz w:val="24"/>
          <w:szCs w:val="24"/>
          <w:shd w:val="clear" w:color="auto" w:fill="auto"/>
        </w:rPr>
      </w:pPr>
      <w:r>
        <w:rPr>
          <w:rStyle w:val="11"/>
          <w:rFonts w:hint="eastAsia" w:ascii="宋体" w:hAnsi="宋体" w:eastAsia="宋体" w:cs="宋体"/>
          <w:b w:val="0"/>
          <w:bCs/>
          <w:color w:val="auto"/>
          <w:sz w:val="24"/>
          <w:szCs w:val="24"/>
          <w:shd w:val="clear" w:color="auto" w:fill="auto"/>
        </w:rPr>
        <w:t>根据2021年教育事业统计数据结果显示，全国共有各级各类学校52.93万所，在校生2.91亿人，专任教师1844.37万人，劳动年龄人口平均受教育年限10.9年。</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jc w:val="both"/>
        <w:textAlignment w:val="auto"/>
        <w:rPr>
          <w:rStyle w:val="11"/>
          <w:rFonts w:hint="eastAsia" w:ascii="宋体" w:hAnsi="宋体" w:eastAsia="宋体" w:cs="宋体"/>
          <w:b/>
          <w:bCs w:val="0"/>
          <w:color w:val="auto"/>
          <w:sz w:val="24"/>
          <w:szCs w:val="24"/>
          <w:shd w:val="clear" w:color="auto" w:fill="auto"/>
        </w:rPr>
      </w:pPr>
      <w:bookmarkStart w:id="30" w:name="_Toc31034"/>
      <w:bookmarkStart w:id="31" w:name="_Toc18481"/>
      <w:bookmarkStart w:id="32" w:name="_Toc31261"/>
      <w:r>
        <w:rPr>
          <w:rStyle w:val="11"/>
          <w:rFonts w:hint="eastAsia" w:ascii="宋体" w:hAnsi="宋体" w:eastAsia="宋体" w:cs="宋体"/>
          <w:b/>
          <w:bCs w:val="0"/>
          <w:color w:val="auto"/>
          <w:sz w:val="24"/>
          <w:szCs w:val="24"/>
          <w:shd w:val="clear" w:color="auto" w:fill="auto"/>
        </w:rPr>
        <w:t>一、学前教育</w:t>
      </w:r>
      <w:bookmarkEnd w:id="30"/>
      <w:bookmarkEnd w:id="31"/>
      <w:bookmarkEnd w:id="32"/>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both"/>
        <w:textAlignment w:val="auto"/>
        <w:rPr>
          <w:rStyle w:val="11"/>
          <w:rFonts w:hint="eastAsia" w:ascii="宋体" w:hAnsi="宋体" w:eastAsia="宋体" w:cs="宋体"/>
          <w:b w:val="0"/>
          <w:bCs/>
          <w:color w:val="auto"/>
          <w:sz w:val="24"/>
          <w:szCs w:val="24"/>
          <w:shd w:val="clear" w:color="auto" w:fill="auto"/>
        </w:rPr>
      </w:pPr>
      <w:r>
        <w:rPr>
          <w:rStyle w:val="11"/>
          <w:rFonts w:hint="eastAsia" w:ascii="宋体" w:hAnsi="宋体" w:eastAsia="宋体" w:cs="宋体"/>
          <w:b w:val="0"/>
          <w:bCs/>
          <w:color w:val="auto"/>
          <w:sz w:val="24"/>
          <w:szCs w:val="24"/>
          <w:shd w:val="clear" w:color="auto" w:fill="auto"/>
        </w:rPr>
        <w:t>2021年，全国共有幼儿园29.48万所。在园幼儿4805.21万人，其中，普惠性幼儿园在园幼儿4218.20万人，普惠性幼儿园覆盖率达到87.78%。共有学前教育专任教师319.10万人。学前教育毛入学率88.1%。</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jc w:val="both"/>
        <w:textAlignment w:val="auto"/>
        <w:rPr>
          <w:rStyle w:val="11"/>
          <w:rFonts w:hint="eastAsia" w:ascii="宋体" w:hAnsi="宋体" w:eastAsia="宋体" w:cs="宋体"/>
          <w:b/>
          <w:bCs w:val="0"/>
          <w:color w:val="auto"/>
          <w:sz w:val="24"/>
          <w:szCs w:val="24"/>
          <w:shd w:val="clear" w:color="auto" w:fill="auto"/>
        </w:rPr>
      </w:pPr>
      <w:bookmarkStart w:id="33" w:name="_Toc13196"/>
      <w:bookmarkStart w:id="34" w:name="_Toc24673"/>
      <w:bookmarkStart w:id="35" w:name="_Toc1952"/>
      <w:r>
        <w:rPr>
          <w:rStyle w:val="11"/>
          <w:rFonts w:hint="eastAsia" w:ascii="宋体" w:hAnsi="宋体" w:eastAsia="宋体" w:cs="宋体"/>
          <w:b/>
          <w:bCs w:val="0"/>
          <w:color w:val="auto"/>
          <w:sz w:val="24"/>
          <w:szCs w:val="24"/>
          <w:shd w:val="clear" w:color="auto" w:fill="auto"/>
        </w:rPr>
        <w:t>二、义务教育</w:t>
      </w:r>
      <w:bookmarkEnd w:id="33"/>
      <w:bookmarkEnd w:id="34"/>
      <w:bookmarkEnd w:id="35"/>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both"/>
        <w:textAlignment w:val="auto"/>
        <w:rPr>
          <w:rStyle w:val="11"/>
          <w:rFonts w:hint="eastAsia" w:ascii="宋体" w:hAnsi="宋体" w:eastAsia="宋体" w:cs="宋体"/>
          <w:b w:val="0"/>
          <w:bCs/>
          <w:color w:val="auto"/>
          <w:sz w:val="24"/>
          <w:szCs w:val="24"/>
          <w:shd w:val="clear" w:color="auto" w:fill="auto"/>
        </w:rPr>
      </w:pPr>
      <w:r>
        <w:rPr>
          <w:rStyle w:val="11"/>
          <w:rFonts w:hint="eastAsia" w:ascii="宋体" w:hAnsi="宋体" w:eastAsia="宋体" w:cs="宋体"/>
          <w:b w:val="0"/>
          <w:bCs/>
          <w:color w:val="auto"/>
          <w:sz w:val="24"/>
          <w:szCs w:val="24"/>
          <w:shd w:val="clear" w:color="auto" w:fill="auto"/>
        </w:rPr>
        <w:t>2021年，全国共有义务教育阶段学校20.72万所。在校生1.58亿人。专任教师1057.19万人。九年义务教育巩固率95.4%。</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both"/>
        <w:textAlignment w:val="auto"/>
        <w:rPr>
          <w:rStyle w:val="11"/>
          <w:rFonts w:hint="eastAsia" w:ascii="宋体" w:hAnsi="宋体" w:eastAsia="宋体" w:cs="宋体"/>
          <w:b w:val="0"/>
          <w:bCs/>
          <w:color w:val="auto"/>
          <w:sz w:val="24"/>
          <w:szCs w:val="24"/>
          <w:shd w:val="clear" w:color="auto" w:fill="auto"/>
        </w:rPr>
      </w:pPr>
      <w:r>
        <w:rPr>
          <w:rStyle w:val="11"/>
          <w:rFonts w:hint="eastAsia" w:ascii="宋体" w:hAnsi="宋体" w:eastAsia="宋体" w:cs="宋体"/>
          <w:b w:val="0"/>
          <w:bCs/>
          <w:color w:val="auto"/>
          <w:sz w:val="24"/>
          <w:szCs w:val="24"/>
          <w:shd w:val="clear" w:color="auto" w:fill="auto"/>
        </w:rPr>
        <w:t>全国共有小学15.43万所。小学招生1782.58万人，在校生1.08亿人。共有小学专任教师660.08万人。</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both"/>
        <w:textAlignment w:val="auto"/>
        <w:rPr>
          <w:rStyle w:val="11"/>
          <w:rFonts w:hint="eastAsia" w:ascii="宋体" w:hAnsi="宋体" w:eastAsia="宋体" w:cs="宋体"/>
          <w:b w:val="0"/>
          <w:bCs/>
          <w:color w:val="auto"/>
          <w:sz w:val="24"/>
          <w:szCs w:val="24"/>
          <w:shd w:val="clear" w:color="auto" w:fill="auto"/>
        </w:rPr>
      </w:pPr>
      <w:r>
        <w:rPr>
          <w:rStyle w:val="11"/>
          <w:rFonts w:hint="eastAsia" w:ascii="宋体" w:hAnsi="宋体" w:eastAsia="宋体" w:cs="宋体"/>
          <w:b w:val="0"/>
          <w:bCs/>
          <w:color w:val="auto"/>
          <w:sz w:val="24"/>
          <w:szCs w:val="24"/>
          <w:shd w:val="clear" w:color="auto" w:fill="auto"/>
        </w:rPr>
        <w:t>全国共有初中5.29万所。初中招生1705.44万人，在校生5018.44万人。共有初中专任教师397.11万人。</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jc w:val="both"/>
        <w:textAlignment w:val="auto"/>
        <w:rPr>
          <w:rStyle w:val="11"/>
          <w:rFonts w:hint="eastAsia" w:ascii="宋体" w:hAnsi="宋体" w:eastAsia="宋体" w:cs="宋体"/>
          <w:b/>
          <w:bCs w:val="0"/>
          <w:color w:val="auto"/>
          <w:sz w:val="24"/>
          <w:szCs w:val="24"/>
          <w:shd w:val="clear" w:color="auto" w:fill="auto"/>
        </w:rPr>
      </w:pPr>
      <w:bookmarkStart w:id="36" w:name="_Toc18362"/>
      <w:bookmarkStart w:id="37" w:name="_Toc16208"/>
      <w:bookmarkStart w:id="38" w:name="_Toc21590"/>
      <w:r>
        <w:rPr>
          <w:rStyle w:val="11"/>
          <w:rFonts w:hint="eastAsia" w:ascii="宋体" w:hAnsi="宋体" w:eastAsia="宋体" w:cs="宋体"/>
          <w:b/>
          <w:bCs w:val="0"/>
          <w:color w:val="auto"/>
          <w:sz w:val="24"/>
          <w:szCs w:val="24"/>
          <w:shd w:val="clear" w:color="auto" w:fill="auto"/>
        </w:rPr>
        <w:t>三、高中阶段教育</w:t>
      </w:r>
      <w:bookmarkEnd w:id="36"/>
      <w:bookmarkEnd w:id="37"/>
      <w:bookmarkEnd w:id="38"/>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both"/>
        <w:textAlignment w:val="auto"/>
        <w:rPr>
          <w:rStyle w:val="11"/>
          <w:rFonts w:hint="eastAsia" w:ascii="宋体" w:hAnsi="宋体" w:eastAsia="宋体" w:cs="宋体"/>
          <w:b w:val="0"/>
          <w:bCs/>
          <w:color w:val="auto"/>
          <w:sz w:val="24"/>
          <w:szCs w:val="24"/>
          <w:shd w:val="clear" w:color="auto" w:fill="auto"/>
        </w:rPr>
      </w:pPr>
      <w:r>
        <w:rPr>
          <w:rStyle w:val="11"/>
          <w:rFonts w:hint="eastAsia" w:ascii="宋体" w:hAnsi="宋体" w:eastAsia="宋体" w:cs="宋体"/>
          <w:b w:val="0"/>
          <w:bCs/>
          <w:color w:val="auto"/>
          <w:sz w:val="24"/>
          <w:szCs w:val="24"/>
          <w:shd w:val="clear" w:color="auto" w:fill="auto"/>
        </w:rPr>
        <w:t>2021年，高中阶段毛入学率91.4%。</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both"/>
        <w:textAlignment w:val="auto"/>
        <w:rPr>
          <w:rStyle w:val="11"/>
          <w:rFonts w:hint="eastAsia" w:ascii="宋体" w:hAnsi="宋体" w:eastAsia="宋体" w:cs="宋体"/>
          <w:b w:val="0"/>
          <w:bCs/>
          <w:color w:val="auto"/>
          <w:sz w:val="24"/>
          <w:szCs w:val="24"/>
          <w:shd w:val="clear" w:color="auto" w:fill="auto"/>
        </w:rPr>
      </w:pPr>
      <w:r>
        <w:rPr>
          <w:rStyle w:val="11"/>
          <w:rFonts w:hint="eastAsia" w:ascii="宋体" w:hAnsi="宋体" w:eastAsia="宋体" w:cs="宋体"/>
          <w:b w:val="0"/>
          <w:bCs/>
          <w:color w:val="auto"/>
          <w:sz w:val="24"/>
          <w:szCs w:val="24"/>
          <w:shd w:val="clear" w:color="auto" w:fill="auto"/>
        </w:rPr>
        <w:t>全国共有普通高中1.46万所。招生904.95万人，在校生2605.03万人。共有普通高中专任教师202.83万人。</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both"/>
        <w:textAlignment w:val="auto"/>
        <w:rPr>
          <w:rStyle w:val="11"/>
          <w:rFonts w:hint="eastAsia" w:ascii="宋体" w:hAnsi="宋体" w:eastAsia="宋体" w:cs="宋体"/>
          <w:b w:val="0"/>
          <w:bCs/>
          <w:color w:val="auto"/>
          <w:sz w:val="24"/>
          <w:szCs w:val="24"/>
          <w:shd w:val="clear" w:color="auto" w:fill="auto"/>
        </w:rPr>
      </w:pPr>
      <w:r>
        <w:rPr>
          <w:rStyle w:val="11"/>
          <w:rFonts w:hint="eastAsia" w:ascii="宋体" w:hAnsi="宋体" w:eastAsia="宋体" w:cs="宋体"/>
          <w:b w:val="0"/>
          <w:bCs/>
          <w:color w:val="auto"/>
          <w:sz w:val="24"/>
          <w:szCs w:val="24"/>
          <w:shd w:val="clear" w:color="auto" w:fill="auto"/>
        </w:rPr>
        <w:t>全国共有中等职业学校7294所。招生488.99万人，在校生1311.81万人。共有中等职业教育专任教师69.54万人。</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jc w:val="both"/>
        <w:textAlignment w:val="auto"/>
        <w:rPr>
          <w:rStyle w:val="11"/>
          <w:rFonts w:hint="eastAsia" w:ascii="宋体" w:hAnsi="宋体" w:eastAsia="宋体" w:cs="宋体"/>
          <w:b/>
          <w:bCs w:val="0"/>
          <w:color w:val="auto"/>
          <w:sz w:val="24"/>
          <w:szCs w:val="24"/>
          <w:shd w:val="clear" w:color="auto" w:fill="auto"/>
        </w:rPr>
      </w:pPr>
      <w:bookmarkStart w:id="39" w:name="_Toc15750"/>
      <w:bookmarkStart w:id="40" w:name="_Toc10229"/>
      <w:bookmarkStart w:id="41" w:name="_Toc26587"/>
      <w:r>
        <w:rPr>
          <w:rStyle w:val="11"/>
          <w:rFonts w:hint="eastAsia" w:ascii="宋体" w:hAnsi="宋体" w:eastAsia="宋体" w:cs="宋体"/>
          <w:b/>
          <w:bCs w:val="0"/>
          <w:color w:val="auto"/>
          <w:sz w:val="24"/>
          <w:szCs w:val="24"/>
          <w:shd w:val="clear" w:color="auto" w:fill="auto"/>
        </w:rPr>
        <w:t>四、高等教育</w:t>
      </w:r>
      <w:bookmarkEnd w:id="39"/>
      <w:bookmarkEnd w:id="40"/>
      <w:bookmarkEnd w:id="41"/>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both"/>
        <w:textAlignment w:val="auto"/>
        <w:rPr>
          <w:rStyle w:val="11"/>
          <w:rFonts w:hint="eastAsia" w:ascii="宋体" w:hAnsi="宋体" w:eastAsia="宋体" w:cs="宋体"/>
          <w:b w:val="0"/>
          <w:bCs/>
          <w:color w:val="auto"/>
          <w:sz w:val="24"/>
          <w:szCs w:val="24"/>
          <w:shd w:val="clear" w:color="auto" w:fill="auto"/>
        </w:rPr>
      </w:pPr>
      <w:r>
        <w:rPr>
          <w:rStyle w:val="11"/>
          <w:rFonts w:hint="eastAsia" w:ascii="宋体" w:hAnsi="宋体" w:eastAsia="宋体" w:cs="宋体"/>
          <w:b w:val="0"/>
          <w:bCs/>
          <w:color w:val="auto"/>
          <w:sz w:val="24"/>
          <w:szCs w:val="24"/>
          <w:shd w:val="clear" w:color="auto" w:fill="auto"/>
        </w:rPr>
        <w:t>2021年，全国共有高等学校3012所，其中，普通本科学校1238所；本科层次职业学校32所；高职（专科）学校1486所；成人高等学校256所。各种形式的高等教育在学总规模4430万人，高等教育毛入学率57.8%。</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both"/>
        <w:textAlignment w:val="auto"/>
        <w:rPr>
          <w:rStyle w:val="11"/>
          <w:rFonts w:hint="eastAsia" w:ascii="宋体" w:hAnsi="宋体" w:eastAsia="宋体" w:cs="宋体"/>
          <w:b w:val="0"/>
          <w:bCs/>
          <w:color w:val="auto"/>
          <w:sz w:val="24"/>
          <w:szCs w:val="24"/>
          <w:shd w:val="clear" w:color="auto" w:fill="auto"/>
        </w:rPr>
      </w:pPr>
      <w:r>
        <w:rPr>
          <w:rStyle w:val="11"/>
          <w:rFonts w:hint="eastAsia" w:ascii="宋体" w:hAnsi="宋体" w:eastAsia="宋体" w:cs="宋体"/>
          <w:b w:val="0"/>
          <w:bCs/>
          <w:color w:val="auto"/>
          <w:sz w:val="24"/>
          <w:szCs w:val="24"/>
          <w:shd w:val="clear" w:color="auto" w:fill="auto"/>
        </w:rPr>
        <w:t>全国普通、职业本专科共招生1001.32万人，其中，普通本科招生444.60万人；职业本科招生4.14万人；高职（专科）招生552.58万人。</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both"/>
        <w:textAlignment w:val="auto"/>
        <w:rPr>
          <w:rStyle w:val="11"/>
          <w:rFonts w:hint="eastAsia" w:ascii="宋体" w:hAnsi="宋体" w:eastAsia="宋体" w:cs="宋体"/>
          <w:b w:val="0"/>
          <w:bCs/>
          <w:color w:val="auto"/>
          <w:sz w:val="24"/>
          <w:szCs w:val="24"/>
          <w:shd w:val="clear" w:color="auto" w:fill="auto"/>
        </w:rPr>
      </w:pPr>
      <w:r>
        <w:rPr>
          <w:rStyle w:val="11"/>
          <w:rFonts w:hint="eastAsia" w:ascii="宋体" w:hAnsi="宋体" w:eastAsia="宋体" w:cs="宋体"/>
          <w:b w:val="0"/>
          <w:bCs/>
          <w:color w:val="auto"/>
          <w:sz w:val="24"/>
          <w:szCs w:val="24"/>
          <w:shd w:val="clear" w:color="auto" w:fill="auto"/>
        </w:rPr>
        <w:t>全国普通、职业本专科共有在校生3496.13万人，其中，普通本科在校生1893.10万人；职业本科在校生12.93万人；高职（专科）在校生1590.10万人。</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both"/>
        <w:textAlignment w:val="auto"/>
        <w:rPr>
          <w:rStyle w:val="11"/>
          <w:rFonts w:hint="eastAsia" w:ascii="宋体" w:hAnsi="宋体" w:eastAsia="宋体" w:cs="宋体"/>
          <w:b w:val="0"/>
          <w:bCs/>
          <w:color w:val="auto"/>
          <w:sz w:val="24"/>
          <w:szCs w:val="24"/>
          <w:shd w:val="clear" w:color="auto" w:fill="auto"/>
        </w:rPr>
      </w:pPr>
      <w:r>
        <w:rPr>
          <w:rStyle w:val="11"/>
          <w:rFonts w:hint="eastAsia" w:ascii="宋体" w:hAnsi="宋体" w:eastAsia="宋体" w:cs="宋体"/>
          <w:b w:val="0"/>
          <w:bCs/>
          <w:color w:val="auto"/>
          <w:sz w:val="24"/>
          <w:szCs w:val="24"/>
          <w:shd w:val="clear" w:color="auto" w:fill="auto"/>
        </w:rPr>
        <w:t>全国共招收研究生117.65万人。其中，招收博士生12.58万人，硕士生105.07万人。在学研究生333.24万人。其中，在学博士生50.95万人，在学硕士生282.29万人。</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both"/>
        <w:textAlignment w:val="auto"/>
        <w:rPr>
          <w:rStyle w:val="11"/>
          <w:rFonts w:hint="eastAsia" w:ascii="宋体" w:hAnsi="宋体" w:eastAsia="宋体" w:cs="宋体"/>
          <w:b w:val="0"/>
          <w:bCs/>
          <w:color w:val="auto"/>
          <w:sz w:val="24"/>
          <w:szCs w:val="24"/>
          <w:shd w:val="clear" w:color="auto" w:fill="auto"/>
        </w:rPr>
      </w:pPr>
      <w:r>
        <w:rPr>
          <w:rStyle w:val="11"/>
          <w:rFonts w:hint="eastAsia" w:ascii="宋体" w:hAnsi="宋体" w:eastAsia="宋体" w:cs="宋体"/>
          <w:b w:val="0"/>
          <w:bCs/>
          <w:color w:val="auto"/>
          <w:sz w:val="24"/>
          <w:szCs w:val="24"/>
          <w:shd w:val="clear" w:color="auto" w:fill="auto"/>
        </w:rPr>
        <w:t>全国共招收成人本专科378.53万人，在校生832.65万人。招收网络本专科283.92万人，在校生873.90万人。</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both"/>
        <w:textAlignment w:val="auto"/>
        <w:rPr>
          <w:rStyle w:val="11"/>
          <w:rFonts w:hint="eastAsia" w:ascii="宋体" w:hAnsi="宋体" w:eastAsia="宋体" w:cs="宋体"/>
          <w:b w:val="0"/>
          <w:bCs/>
          <w:color w:val="auto"/>
          <w:sz w:val="24"/>
          <w:szCs w:val="24"/>
          <w:shd w:val="clear" w:color="auto" w:fill="auto"/>
        </w:rPr>
      </w:pPr>
      <w:r>
        <w:rPr>
          <w:rStyle w:val="11"/>
          <w:rFonts w:hint="eastAsia" w:ascii="宋体" w:hAnsi="宋体" w:eastAsia="宋体" w:cs="宋体"/>
          <w:b w:val="0"/>
          <w:bCs/>
          <w:color w:val="auto"/>
          <w:sz w:val="24"/>
          <w:szCs w:val="24"/>
          <w:shd w:val="clear" w:color="auto" w:fill="auto"/>
        </w:rPr>
        <w:t>全国共有高等教育专任教师 188.52万人，其中，普通本科学校126.97万人；本科层次职业学校2.56万人；高职（专科）学校57.02万人；成人高校1.97万人。</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jc w:val="both"/>
        <w:textAlignment w:val="auto"/>
        <w:rPr>
          <w:rStyle w:val="11"/>
          <w:rFonts w:hint="eastAsia" w:ascii="宋体" w:hAnsi="宋体" w:eastAsia="宋体" w:cs="宋体"/>
          <w:b/>
          <w:bCs w:val="0"/>
          <w:color w:val="auto"/>
          <w:sz w:val="24"/>
          <w:szCs w:val="24"/>
          <w:shd w:val="clear" w:color="auto" w:fill="auto"/>
        </w:rPr>
      </w:pPr>
      <w:bookmarkStart w:id="42" w:name="_Toc15973"/>
      <w:bookmarkStart w:id="43" w:name="_Toc12372"/>
      <w:bookmarkStart w:id="44" w:name="_Toc16708"/>
      <w:r>
        <w:rPr>
          <w:rStyle w:val="11"/>
          <w:rFonts w:hint="eastAsia" w:ascii="宋体" w:hAnsi="宋体" w:eastAsia="宋体" w:cs="宋体"/>
          <w:b/>
          <w:bCs w:val="0"/>
          <w:color w:val="auto"/>
          <w:sz w:val="24"/>
          <w:szCs w:val="24"/>
          <w:shd w:val="clear" w:color="auto" w:fill="auto"/>
        </w:rPr>
        <w:t>五、特殊教育</w:t>
      </w:r>
      <w:bookmarkEnd w:id="42"/>
      <w:bookmarkEnd w:id="43"/>
      <w:bookmarkEnd w:id="44"/>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both"/>
        <w:textAlignment w:val="auto"/>
        <w:rPr>
          <w:rStyle w:val="11"/>
          <w:rFonts w:hint="eastAsia" w:ascii="宋体" w:hAnsi="宋体" w:eastAsia="宋体" w:cs="宋体"/>
          <w:b w:val="0"/>
          <w:bCs/>
          <w:color w:val="auto"/>
          <w:sz w:val="24"/>
          <w:szCs w:val="24"/>
          <w:shd w:val="clear" w:color="auto" w:fill="auto"/>
        </w:rPr>
      </w:pPr>
      <w:r>
        <w:rPr>
          <w:rStyle w:val="11"/>
          <w:rFonts w:hint="eastAsia" w:ascii="宋体" w:hAnsi="宋体" w:eastAsia="宋体" w:cs="宋体"/>
          <w:b w:val="0"/>
          <w:bCs/>
          <w:color w:val="auto"/>
          <w:sz w:val="24"/>
          <w:szCs w:val="24"/>
          <w:shd w:val="clear" w:color="auto" w:fill="auto"/>
        </w:rPr>
        <w:t>2021年，全国共有特殊教育学校2288所。招收各种形式的特殊教育学生14.91万人，在校生91.98万人。共有特殊教育专任教师6.94万人。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482" w:firstLineChars="200"/>
        <w:textAlignment w:val="auto"/>
        <w:rPr>
          <w:rFonts w:hint="eastAsia" w:ascii="楷体" w:hAnsi="楷体" w:eastAsia="楷体" w:cs="楷体"/>
          <w:b/>
          <w:bCs w:val="0"/>
          <w:kern w:val="2"/>
          <w:sz w:val="24"/>
          <w:szCs w:val="24"/>
          <w:shd w:val="clear" w:color="auto" w:fill="auto"/>
          <w:lang w:val="en-US" w:eastAsia="zh-CN" w:bidi="ar-SA"/>
        </w:rPr>
      </w:pPr>
      <w:r>
        <w:rPr>
          <w:rFonts w:hint="eastAsia" w:ascii="楷体" w:hAnsi="楷体" w:eastAsia="楷体" w:cs="楷体"/>
          <w:b/>
          <w:bCs w:val="0"/>
          <w:kern w:val="2"/>
          <w:sz w:val="24"/>
          <w:szCs w:val="24"/>
          <w:shd w:val="clear" w:color="auto" w:fill="auto"/>
          <w:lang w:val="en-US" w:eastAsia="zh-CN" w:bidi="ar-SA"/>
        </w:rPr>
        <w:t>附注：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480" w:firstLineChars="200"/>
        <w:textAlignment w:val="auto"/>
        <w:rPr>
          <w:rFonts w:hint="eastAsia" w:ascii="楷体" w:hAnsi="楷体" w:eastAsia="楷体" w:cs="楷体"/>
          <w:bCs/>
          <w:kern w:val="2"/>
          <w:sz w:val="24"/>
          <w:szCs w:val="24"/>
          <w:shd w:val="clear" w:color="auto" w:fill="auto"/>
          <w:lang w:val="en-US" w:eastAsia="zh-CN" w:bidi="ar-SA"/>
        </w:rPr>
      </w:pPr>
      <w:r>
        <w:rPr>
          <w:rFonts w:hint="eastAsia" w:ascii="楷体" w:hAnsi="楷体" w:eastAsia="楷体" w:cs="楷体"/>
          <w:bCs/>
          <w:kern w:val="2"/>
          <w:sz w:val="24"/>
          <w:szCs w:val="24"/>
          <w:shd w:val="clear" w:color="auto" w:fill="auto"/>
          <w:lang w:val="en-US" w:eastAsia="zh-CN" w:bidi="ar-SA"/>
        </w:rPr>
        <w:t>1.各项统计数据均未包括香港特别行政区、澳门特别行政区和台湾地区。部分数据因四舍五入的原因，存在着与分项合计不等的情况。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480" w:firstLineChars="200"/>
        <w:textAlignment w:val="auto"/>
        <w:rPr>
          <w:rFonts w:hint="eastAsia" w:ascii="楷体" w:hAnsi="楷体" w:eastAsia="楷体" w:cs="楷体"/>
          <w:bCs/>
          <w:kern w:val="2"/>
          <w:sz w:val="24"/>
          <w:szCs w:val="24"/>
          <w:shd w:val="clear" w:color="auto" w:fill="auto"/>
          <w:lang w:val="en-US" w:eastAsia="zh-CN" w:bidi="ar-SA"/>
        </w:rPr>
      </w:pPr>
      <w:r>
        <w:rPr>
          <w:rFonts w:hint="eastAsia" w:ascii="楷体" w:hAnsi="楷体" w:eastAsia="楷体" w:cs="楷体"/>
          <w:bCs/>
          <w:kern w:val="2"/>
          <w:sz w:val="24"/>
          <w:szCs w:val="24"/>
          <w:shd w:val="clear" w:color="auto" w:fill="auto"/>
          <w:lang w:val="en-US" w:eastAsia="zh-CN" w:bidi="ar-SA"/>
        </w:rPr>
        <w:t>2.各级各类学校是指经县级以上人民政府及其教育行政部门按照国家规定批准设立，以及县级以上人民政府其他有关行政部门审批设立并报教育行政部门备案的各级各类学校。所有数据均不包括军事院校和人社部门管理的技工学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exact"/>
        <w:ind w:left="0" w:right="0" w:firstLine="480" w:firstLineChars="200"/>
        <w:textAlignment w:val="auto"/>
        <w:rPr>
          <w:sz w:val="24"/>
          <w:szCs w:val="24"/>
        </w:rPr>
      </w:pPr>
      <w:r>
        <w:rPr>
          <w:rFonts w:hint="eastAsia" w:ascii="楷体" w:hAnsi="楷体" w:eastAsia="楷体" w:cs="楷体"/>
          <w:bCs/>
          <w:kern w:val="2"/>
          <w:sz w:val="24"/>
          <w:szCs w:val="24"/>
          <w:shd w:val="clear" w:color="auto" w:fill="auto"/>
          <w:lang w:val="en-US" w:eastAsia="zh-CN" w:bidi="ar-SA"/>
        </w:rPr>
        <w:t>3.高等教育在学总规模包括研究生、普通本专科、成人本专科、网络本专科、高等教育自学考试本专科等各种形式的高等教育在学人数。</w:t>
      </w:r>
    </w:p>
    <w:p/>
    <w:p>
      <w:pPr>
        <w:pStyle w:val="2"/>
        <w:ind w:left="0" w:leftChars="0" w:firstLine="0" w:firstLineChars="0"/>
      </w:pPr>
    </w:p>
    <w:p/>
    <w:p>
      <w:pPr>
        <w:pStyle w:val="2"/>
        <w:ind w:left="0" w:leftChars="0" w:firstLine="0" w:firstLineChars="0"/>
      </w:pPr>
    </w:p>
    <w:p/>
    <w:p>
      <w:pPr>
        <w:pStyle w:val="2"/>
        <w:ind w:left="0" w:leftChars="0" w:firstLine="0" w:firstLineChars="0"/>
      </w:pPr>
    </w:p>
    <w:p/>
    <w:p>
      <w:pPr>
        <w:pStyle w:val="2"/>
        <w:ind w:left="0" w:leftChars="0" w:firstLine="0" w:firstLineChars="0"/>
      </w:pPr>
    </w:p>
    <w:p/>
    <w:p>
      <w:pPr>
        <w:pStyle w:val="2"/>
        <w:ind w:left="0" w:leftChars="0" w:firstLine="0" w:firstLineChars="0"/>
      </w:pPr>
    </w:p>
    <w:p/>
    <w:p>
      <w:pPr>
        <w:pStyle w:val="2"/>
      </w:pPr>
    </w:p>
    <w:p/>
    <w:p/>
    <w:p/>
    <w:p>
      <w:pPr>
        <w:ind w:firstLine="562"/>
        <w:jc w:val="right"/>
        <w:rPr>
          <w:rFonts w:ascii="仿宋_GB2312" w:hAnsi="仿宋" w:eastAsia="仿宋_GB2312" w:cs="仿宋"/>
          <w:b/>
          <w:sz w:val="28"/>
          <w:szCs w:val="28"/>
        </w:rPr>
      </w:pPr>
      <w:r>
        <w:rPr>
          <w:rFonts w:hint="eastAsia" w:ascii="仿宋_GB2312" w:hAnsi="仿宋" w:eastAsia="仿宋_GB2312" w:cs="仿宋"/>
          <w:b/>
          <w:sz w:val="28"/>
          <w:szCs w:val="28"/>
        </w:rPr>
        <w:t xml:space="preserve"> （汇编：王洁、高春月； 审核：徐婷婷）</w:t>
      </w:r>
    </w:p>
    <w:p>
      <w:pPr>
        <w:pStyle w:val="3"/>
        <w:rPr>
          <w:rFonts w:ascii="仿宋_GB2312" w:hAnsi="仿宋" w:eastAsia="仿宋_GB2312" w:cs="仿宋"/>
          <w:sz w:val="24"/>
          <w:szCs w:val="24"/>
        </w:rPr>
      </w:pPr>
      <w:r>
        <w:rPr>
          <w:rFonts w:ascii="仿宋_GB2312" w:hAnsi="仿宋" w:eastAsia="仿宋_GB2312" w:cs="仿宋"/>
        </w:rPr>
        <mc:AlternateContent>
          <mc:Choice Requires="wps">
            <w:drawing>
              <wp:anchor distT="0" distB="0" distL="114300" distR="114300" simplePos="0" relativeHeight="251662336" behindDoc="0" locked="0" layoutInCell="1" allowOverlap="1">
                <wp:simplePos x="0" y="0"/>
                <wp:positionH relativeFrom="page">
                  <wp:posOffset>1083310</wp:posOffset>
                </wp:positionH>
                <wp:positionV relativeFrom="paragraph">
                  <wp:posOffset>-45085</wp:posOffset>
                </wp:positionV>
                <wp:extent cx="5495290" cy="0"/>
                <wp:effectExtent l="0" t="0" r="0" b="0"/>
                <wp:wrapNone/>
                <wp:docPr id="17" name="直接连接符 17"/>
                <wp:cNvGraphicFramePr/>
                <a:graphic xmlns:a="http://schemas.openxmlformats.org/drawingml/2006/main">
                  <a:graphicData uri="http://schemas.microsoft.com/office/word/2010/wordprocessingShape">
                    <wps:wsp>
                      <wps:cNvCnPr/>
                      <wps:spPr>
                        <a:xfrm>
                          <a:off x="0" y="0"/>
                          <a:ext cx="5495290" cy="0"/>
                        </a:xfrm>
                        <a:prstGeom prst="line">
                          <a:avLst/>
                        </a:prstGeom>
                        <a:ln w="63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5.3pt;margin-top:-3.55pt;height:0pt;width:432.7pt;mso-position-horizontal-relative:page;z-index:251662336;mso-width-relative:page;mso-height-relative:page;" filled="f" stroked="t" coordsize="21600,21600" o:gfxdata="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47BJdUAAAAKAQAADwAAAAAAAAABACAAAAAiAAAAZHJzL2Rvd25yZXYueG1sUEsBAhQAFAAA&#10;AAgAh07iQLhvpjvyAQAA6AMAAA4AAAAAAAAAAQAgAAAAJAEAAGRycy9lMm9Eb2MueG1sUEsFBgAA&#10;AAAGAAYAWQEAAIgFAAAAAA==&#10;">
                <v:fill on="f" focussize="0,0"/>
                <v:stroke weight="0.5pt" color="#000000" joinstyle="round"/>
                <v:imagedata o:title=""/>
                <o:lock v:ext="edit" aspectratio="f"/>
              </v:line>
            </w:pict>
          </mc:Fallback>
        </mc:AlternateContent>
      </w:r>
      <w:r>
        <w:rPr>
          <w:rFonts w:hint="eastAsia" w:ascii="仿宋_GB2312" w:hAnsi="仿宋" w:eastAsia="仿宋_GB2312" w:cs="仿宋"/>
        </w:rPr>
        <w:t>发：校“两委”成员、各单位（部门）党政负责人</w:t>
      </w:r>
    </w:p>
    <w:p>
      <w:pPr>
        <w:pStyle w:val="3"/>
        <w:tabs>
          <w:tab w:val="left" w:pos="6700"/>
        </w:tabs>
        <w:rPr>
          <w:rFonts w:ascii="黑体" w:hAnsi="黑体" w:eastAsia="黑体" w:cs="黑体"/>
          <w:b/>
          <w:bCs/>
          <w:szCs w:val="36"/>
        </w:rPr>
      </w:pPr>
      <w:r>
        <w:rPr>
          <w:rFonts w:ascii="仿宋_GB2312" w:hAnsi="仿宋" w:eastAsia="仿宋_GB2312" w:cs="仿宋"/>
        </w:rPr>
        <mc:AlternateContent>
          <mc:Choice Requires="wps">
            <w:drawing>
              <wp:anchor distT="0" distB="0" distL="114300" distR="114300" simplePos="0" relativeHeight="251661312" behindDoc="0" locked="0" layoutInCell="1" allowOverlap="1">
                <wp:simplePos x="0" y="0"/>
                <wp:positionH relativeFrom="page">
                  <wp:posOffset>1080135</wp:posOffset>
                </wp:positionH>
                <wp:positionV relativeFrom="paragraph">
                  <wp:posOffset>390525</wp:posOffset>
                </wp:positionV>
                <wp:extent cx="5495290"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5495290" cy="0"/>
                        </a:xfrm>
                        <a:prstGeom prst="line">
                          <a:avLst/>
                        </a:prstGeom>
                        <a:ln w="63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5.05pt;margin-top:30.75pt;height:0pt;width:432.7pt;mso-position-horizontal-relative:page;z-index:251661312;mso-width-relative:page;mso-height-relative:page;" filled="f" stroked="t" coordsize="21600,21600" o:gfxdata="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vl+SA1AAAAAoBAAAPAAAAAAAAAAEAIAAAACIAAABkcnMvZG93bnJldi54bWxQSwECFAAUAAAA&#10;CACHTuJAFXYaovIBAADoAwAADgAAAAAAAAABACAAAAAjAQAAZHJzL2Uyb0RvYy54bWxQSwUGAAAA&#10;AAYABgBZAQAAhwUAAAAA&#10;">
                <v:fill on="f" focussize="0,0"/>
                <v:stroke weight="0.5pt" color="#000000" joinstyle="round"/>
                <v:imagedata o:title=""/>
                <o:lock v:ext="edit" aspectratio="f"/>
              </v:line>
            </w:pict>
          </mc:Fallback>
        </mc:AlternateContent>
      </w:r>
      <w:r>
        <w:rPr>
          <w:rFonts w:hint="eastAsia" w:ascii="仿宋_GB2312" w:hAnsi="仿宋" w:eastAsia="仿宋_GB2312" w:cs="仿宋"/>
        </w:rPr>
        <w:t>发展规划处</w:t>
      </w:r>
      <w:r>
        <w:rPr>
          <w:rFonts w:hint="eastAsia"/>
        </w:rPr>
        <w:t>•</w:t>
      </w:r>
      <w:r>
        <w:rPr>
          <w:rFonts w:hint="eastAsia" w:ascii="仿宋_GB2312" w:hAnsi="仿宋_GB2312" w:eastAsia="仿宋_GB2312" w:cs="仿宋_GB2312"/>
        </w:rPr>
        <w:t>民办高等教育研究所</w:t>
      </w:r>
      <w:r>
        <w:rPr>
          <w:rFonts w:hint="eastAsia" w:ascii="仿宋_GB2312" w:hAnsi="仿宋" w:eastAsia="仿宋_GB2312" w:cs="仿宋"/>
        </w:rPr>
        <w:t xml:space="preserve">            2022年3月</w:t>
      </w:r>
      <w:r>
        <w:rPr>
          <w:rFonts w:hint="eastAsia" w:ascii="仿宋_GB2312" w:hAnsi="仿宋" w:eastAsia="仿宋_GB2312" w:cs="仿宋"/>
          <w:lang w:val="en-US" w:eastAsia="zh-CN"/>
        </w:rPr>
        <w:t>9</w:t>
      </w:r>
      <w:r>
        <w:rPr>
          <w:rFonts w:hint="eastAsia" w:ascii="仿宋_GB2312" w:hAnsi="仿宋" w:eastAsia="仿宋_GB2312" w:cs="仿宋"/>
        </w:rPr>
        <w:t>日编</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3A0B98"/>
    <w:rsid w:val="002B27DA"/>
    <w:rsid w:val="036B51F3"/>
    <w:rsid w:val="06FA704F"/>
    <w:rsid w:val="0939286B"/>
    <w:rsid w:val="09907686"/>
    <w:rsid w:val="0A8C4462"/>
    <w:rsid w:val="0A961511"/>
    <w:rsid w:val="0E9D6C3E"/>
    <w:rsid w:val="0F661726"/>
    <w:rsid w:val="0F985657"/>
    <w:rsid w:val="104005A5"/>
    <w:rsid w:val="114204E4"/>
    <w:rsid w:val="12D20E80"/>
    <w:rsid w:val="14F82F4F"/>
    <w:rsid w:val="17974B2B"/>
    <w:rsid w:val="1B3B1C95"/>
    <w:rsid w:val="1CC63804"/>
    <w:rsid w:val="1D1C1676"/>
    <w:rsid w:val="1E6C2189"/>
    <w:rsid w:val="217F21D3"/>
    <w:rsid w:val="23837D6B"/>
    <w:rsid w:val="255B6AB3"/>
    <w:rsid w:val="26B7240F"/>
    <w:rsid w:val="2C882884"/>
    <w:rsid w:val="2FA3269F"/>
    <w:rsid w:val="2FDE27BA"/>
    <w:rsid w:val="36C43710"/>
    <w:rsid w:val="379522F8"/>
    <w:rsid w:val="381F1BC2"/>
    <w:rsid w:val="390C4FC9"/>
    <w:rsid w:val="39ED01CA"/>
    <w:rsid w:val="3AD033B6"/>
    <w:rsid w:val="3C6A5B02"/>
    <w:rsid w:val="3CBE7BFC"/>
    <w:rsid w:val="3CDC62D4"/>
    <w:rsid w:val="3DBC2580"/>
    <w:rsid w:val="3E4A2660"/>
    <w:rsid w:val="3F3B5533"/>
    <w:rsid w:val="3FF92631"/>
    <w:rsid w:val="426D00FA"/>
    <w:rsid w:val="44C85ABB"/>
    <w:rsid w:val="452D1DC2"/>
    <w:rsid w:val="45883351"/>
    <w:rsid w:val="463B406B"/>
    <w:rsid w:val="475F022D"/>
    <w:rsid w:val="48C1750E"/>
    <w:rsid w:val="4926728C"/>
    <w:rsid w:val="4E7B3B9E"/>
    <w:rsid w:val="4EE2777A"/>
    <w:rsid w:val="4F5061B2"/>
    <w:rsid w:val="52F537F4"/>
    <w:rsid w:val="54530D75"/>
    <w:rsid w:val="56460D3D"/>
    <w:rsid w:val="56E60023"/>
    <w:rsid w:val="573A0B98"/>
    <w:rsid w:val="578A565B"/>
    <w:rsid w:val="5CC6471D"/>
    <w:rsid w:val="5CFE60C6"/>
    <w:rsid w:val="5DF13E95"/>
    <w:rsid w:val="61907509"/>
    <w:rsid w:val="61974753"/>
    <w:rsid w:val="63EC13F7"/>
    <w:rsid w:val="661E1452"/>
    <w:rsid w:val="68010E41"/>
    <w:rsid w:val="685F3791"/>
    <w:rsid w:val="689E075E"/>
    <w:rsid w:val="6A0445F0"/>
    <w:rsid w:val="6AB75B07"/>
    <w:rsid w:val="6E4C47B8"/>
    <w:rsid w:val="6F6873CF"/>
    <w:rsid w:val="736A65DB"/>
    <w:rsid w:val="73BC418E"/>
    <w:rsid w:val="76206C56"/>
    <w:rsid w:val="76D637B8"/>
    <w:rsid w:val="76D67314"/>
    <w:rsid w:val="79E955B1"/>
    <w:rsid w:val="7DDA357B"/>
    <w:rsid w:val="7EA30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line="440" w:lineRule="exact"/>
      <w:jc w:val="center"/>
      <w:outlineLvl w:val="0"/>
    </w:pPr>
    <w:rPr>
      <w:rFonts w:eastAsia="黑体"/>
      <w:b/>
      <w:bCs/>
      <w:kern w:val="44"/>
      <w:sz w:val="28"/>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rPr>
      <w:rFonts w:ascii="Times New Roman" w:hAnsi="Times New Roman"/>
      <w:szCs w:val="20"/>
    </w:rPr>
  </w:style>
  <w:style w:type="paragraph" w:styleId="3">
    <w:name w:val="Body Text"/>
    <w:basedOn w:val="1"/>
    <w:qFormat/>
    <w:uiPriority w:val="1"/>
    <w:rPr>
      <w:sz w:val="28"/>
      <w:szCs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Normal (Web)"/>
    <w:basedOn w:val="1"/>
    <w:next w:val="6"/>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rFonts w:cs="Times New Roman"/>
      <w:b/>
      <w:lang w:bidi="ar-SA"/>
    </w:rPr>
  </w:style>
  <w:style w:type="character" w:styleId="12">
    <w:name w:val="FollowedHyperlink"/>
    <w:basedOn w:val="10"/>
    <w:semiHidden/>
    <w:unhideWhenUsed/>
    <w:qFormat/>
    <w:uiPriority w:val="0"/>
    <w:rPr>
      <w:color w:val="800080"/>
      <w:u w:val="single"/>
    </w:rPr>
  </w:style>
  <w:style w:type="character" w:styleId="13">
    <w:name w:val="Hyperlink"/>
    <w:basedOn w:val="10"/>
    <w:qFormat/>
    <w:uiPriority w:val="0"/>
    <w:rPr>
      <w:color w:val="0000FF"/>
      <w:u w:val="single"/>
    </w:rPr>
  </w:style>
  <w:style w:type="paragraph" w:styleId="14">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22116</Words>
  <Characters>23345</Characters>
  <Lines>0</Lines>
  <Paragraphs>0</Paragraphs>
  <TotalTime>17</TotalTime>
  <ScaleCrop>false</ScaleCrop>
  <LinksUpToDate>false</LinksUpToDate>
  <CharactersWithSpaces>23417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2022-03-09T00:20:00Z</dcterms:created>
  <dc:creator>偏僻的小村</dc:creator>
  <cp:lastModifiedBy>松清惜河</cp:lastModifiedBy>
  <dcterms:modified xsi:type="dcterms:W3CDTF">2022-04-01T02:03:27Z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BE9364EAB8B5421EAD9B2B4874B1C955</vt:lpwstr>
  </property>
</Properties>
</file>