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泳湖二楼茶吧公益服务创业项目</w:t>
      </w:r>
      <w:r>
        <w:rPr>
          <w:rFonts w:hint="eastAsia" w:ascii="黑体" w:hAnsi="黑体" w:eastAsia="黑体" w:cs="黑体"/>
          <w:sz w:val="32"/>
          <w:szCs w:val="32"/>
        </w:rPr>
        <w:t>招标公告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一、招标项目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98"/>
        <w:gridCol w:w="2052"/>
        <w:gridCol w:w="2985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运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营区域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运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营范围</w:t>
            </w:r>
          </w:p>
        </w:tc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运营时间</w:t>
            </w:r>
          </w:p>
        </w:tc>
        <w:tc>
          <w:tcPr>
            <w:tcW w:w="261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项目收费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泳湖天池二楼茶吧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饮品、桌游、手工制作等（不能制作生食，如：肉类、烘焙、烤肠等；不能售卖烟酒）。</w:t>
            </w:r>
          </w:p>
        </w:tc>
        <w:tc>
          <w:tcPr>
            <w:tcW w:w="2985" w:type="dxa"/>
          </w:tcPr>
          <w:p>
            <w:pPr>
              <w:spacing w:line="360" w:lineRule="auto"/>
              <w:rPr>
                <w:rFonts w:hint="default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2023年3月1日-3月31日（考核优秀的运营团队可保留核心技术成员续签至4月30日止），核心技术成员总共运营期限最多不得超过2个月。</w:t>
            </w:r>
          </w:p>
        </w:tc>
        <w:tc>
          <w:tcPr>
            <w:tcW w:w="261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水电费据实结算；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拟向学校缴纳固定场租费、设备折旧费共约800元/月（每月运营期结束后向财务处缴纳）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。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二、招标对象</w:t>
      </w:r>
    </w:p>
    <w:p>
      <w:pPr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武汉生物工程学院全日制普通本、专科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三、招标安排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（一）投标。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有意向的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创业团队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12:00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前</w:t>
      </w:r>
      <w:r>
        <w:rPr>
          <w:rFonts w:hint="eastAsia" w:ascii="仿宋" w:hAnsi="仿宋" w:eastAsia="仿宋" w:cs="仿宋"/>
          <w:bCs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武生院营利类公益创业项目竞标书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电子版，模版见附件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发到电子邮箱5565275@qq.com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邮件标题为“负责人姓名-电话-项目名称”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通讯评审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由创新创业学院实践管理部会同管理学院，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递交</w:t>
      </w:r>
      <w:r>
        <w:rPr>
          <w:rFonts w:hint="eastAsia" w:ascii="仿宋" w:hAnsi="仿宋" w:eastAsia="仿宋" w:cs="仿宋"/>
          <w:sz w:val="28"/>
          <w:szCs w:val="28"/>
        </w:rPr>
        <w:t>武生院营利类公益创业项目竞标书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团队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核心竞争力、运营内容及模式等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进行审查、筛选后</w:t>
      </w:r>
      <w:r>
        <w:rPr>
          <w:rFonts w:hint="eastAsia" w:ascii="仿宋" w:hAnsi="仿宋" w:eastAsia="仿宋" w:cs="仿宋"/>
          <w:sz w:val="28"/>
          <w:szCs w:val="28"/>
        </w:rPr>
        <w:t>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入围</w:t>
      </w:r>
      <w:r>
        <w:rPr>
          <w:rFonts w:hint="eastAsia" w:ascii="仿宋" w:hAnsi="仿宋" w:eastAsia="仿宋" w:cs="仿宋"/>
          <w:sz w:val="28"/>
          <w:szCs w:val="28"/>
        </w:rPr>
        <w:t>团队参与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</w:t>
      </w:r>
      <w:r>
        <w:rPr>
          <w:rFonts w:hint="eastAsia" w:ascii="仿宋" w:hAnsi="仿宋" w:eastAsia="仿宋" w:cs="仿宋"/>
          <w:sz w:val="28"/>
          <w:szCs w:val="28"/>
        </w:rPr>
        <w:t>竞标。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（三）竞标。竞标时，团队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sz w:val="28"/>
          <w:szCs w:val="28"/>
        </w:rPr>
        <w:t>应围绕运营宗旨、团队组建、业务开展、财务管理、台账管理、环境管理、安全管理等问题进行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</w:t>
      </w:r>
      <w:r>
        <w:rPr>
          <w:rFonts w:hint="eastAsia" w:ascii="仿宋" w:hAnsi="仿宋" w:eastAsia="仿宋" w:cs="仿宋"/>
          <w:sz w:val="28"/>
          <w:szCs w:val="28"/>
        </w:rPr>
        <w:t>路演（时间不超过5分钟），同时接受评委提问。评委逐一打分评议后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每个项目确定一个中标团队。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sz w:val="28"/>
          <w:szCs w:val="28"/>
        </w:rPr>
        <w:t>竞标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仿宋"/>
          <w:sz w:val="28"/>
          <w:szCs w:val="28"/>
        </w:rPr>
        <w:t>另行通知。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（四）入驻。竞标结束之后，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创新创业学院实践管理部</w:t>
      </w:r>
      <w:r>
        <w:rPr>
          <w:rFonts w:hint="eastAsia" w:ascii="仿宋" w:hAnsi="仿宋" w:eastAsia="仿宋" w:cs="仿宋"/>
          <w:sz w:val="28"/>
          <w:szCs w:val="28"/>
        </w:rPr>
        <w:t>与中标团队签订入驻协议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和创业银行贷款协议</w:t>
      </w:r>
      <w:r>
        <w:rPr>
          <w:rFonts w:hint="eastAsia" w:ascii="仿宋" w:hAnsi="仿宋" w:eastAsia="仿宋" w:cs="仿宋"/>
          <w:sz w:val="28"/>
          <w:szCs w:val="28"/>
        </w:rPr>
        <w:t>，并组织中标团队入驻运营。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四、有关要求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（一）团队组建。有意向的学生可自愿组建3人以上团队，团队负责人、技术指导、财务管理、安全管理等分工明确。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（二）资产管理。运营团队须维护学校资产完好无损，运营过程中，学校资产如有损坏或遗失，由中标团队自行维修或更换。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（三）经营范围。中标团队不得超出经营范围经营，严禁违法违规经营；严禁擅自转包他人（特别是社会人员）。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（四）经营期限。中标团队自签订入驻协议之日起开始经营，经营期限不超过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个月，到期前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创新创业学院</w:t>
      </w:r>
      <w:r>
        <w:rPr>
          <w:rFonts w:hint="eastAsia" w:ascii="仿宋" w:hAnsi="仿宋" w:eastAsia="仿宋" w:cs="仿宋"/>
          <w:sz w:val="28"/>
          <w:szCs w:val="28"/>
        </w:rPr>
        <w:t>重新组织招标。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）环境卫生。经营团队负责经营场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地的</w:t>
      </w:r>
      <w:r>
        <w:rPr>
          <w:rFonts w:hint="eastAsia" w:ascii="仿宋" w:hAnsi="仿宋" w:eastAsia="仿宋" w:cs="仿宋"/>
          <w:sz w:val="28"/>
          <w:szCs w:val="28"/>
        </w:rPr>
        <w:t>环境卫生，场所内不得吸烟、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酗</w:t>
      </w:r>
      <w:r>
        <w:rPr>
          <w:rFonts w:hint="eastAsia" w:ascii="仿宋" w:hAnsi="仿宋" w:eastAsia="仿宋" w:cs="仿宋"/>
          <w:sz w:val="28"/>
          <w:szCs w:val="28"/>
        </w:rPr>
        <w:t>酒。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）其他要求。服从管理，遵纪守法，文明经营，不得从事违纪违法活动；及时缴纳水电费、设备维护费及管理服务费；团队成员须利用课余时间运营，不得影响学业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往年没有必修课不及格、违纪被处分的情况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创新创业学院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校团委、管理学院、资产管理处、保卫处</w:t>
      </w:r>
      <w:r>
        <w:rPr>
          <w:rFonts w:hint="eastAsia" w:ascii="仿宋" w:hAnsi="仿宋" w:eastAsia="仿宋" w:cs="仿宋"/>
          <w:sz w:val="28"/>
          <w:szCs w:val="28"/>
        </w:rPr>
        <w:t>等单位不定期对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营团队进行检查与考核。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未尽事宜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在竞标时约定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管理学院邓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027-89641631）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</w:t>
      </w: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instrText xml:space="preserve"> HYPERLINK "mailto:5565275@qq.com"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5565275</w:t>
      </w:r>
      <w:r>
        <w:rPr>
          <w:rStyle w:val="5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管理学院    </w:t>
      </w:r>
    </w:p>
    <w:p>
      <w:pPr>
        <w:spacing w:line="360" w:lineRule="auto"/>
        <w:ind w:firstLine="560"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spacing w:line="360" w:lineRule="auto"/>
        <w:ind w:firstLine="560"/>
        <w:jc w:val="right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附件1：武生院营利类公益创业项目竞标书模板</w:t>
      </w: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创业计划书</w:t>
      </w:r>
    </w:p>
    <w:p>
      <w:pPr>
        <w:spacing w:line="360" w:lineRule="auto"/>
        <w:rPr>
          <w:b/>
          <w:sz w:val="52"/>
          <w:szCs w:val="52"/>
        </w:rPr>
      </w:pPr>
    </w:p>
    <w:p>
      <w:pPr>
        <w:spacing w:line="360" w:lineRule="auto"/>
        <w:rPr>
          <w:b/>
          <w:sz w:val="52"/>
          <w:szCs w:val="52"/>
        </w:rPr>
      </w:pPr>
    </w:p>
    <w:p>
      <w:pPr>
        <w:spacing w:line="360" w:lineRule="auto"/>
        <w:rPr>
          <w:b/>
          <w:sz w:val="52"/>
          <w:szCs w:val="52"/>
        </w:rPr>
      </w:pPr>
    </w:p>
    <w:p>
      <w:pPr>
        <w:spacing w:line="360" w:lineRule="auto"/>
        <w:rPr>
          <w:b/>
          <w:sz w:val="52"/>
          <w:szCs w:val="52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项目名称: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项目负责人：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36"/>
          <w:szCs w:val="36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指导老师：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学    号：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联系电话：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36"/>
          <w:szCs w:val="36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电子邮箱：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团队成员（成员信息[注明负责人及联系方式]、年级、所在学院、团队分工、指导老师及联系方式）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与竞标项目相关的专业技能描述，字数不超过300字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运营内容与模式（包含创新点描述）、收费标准，字数不超过600字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日常管理（台账管理、团队管理、收费管理）字数不超过400字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关于固定场租费能否承担，可承担多少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</w:rPr>
              <w:t>项目宣传</w:t>
            </w: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优势与资源</w:t>
            </w: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</w:rPr>
              <w:t>（官Q、微信公众号、抖音、微博等发布情况，列条叙述</w:t>
            </w: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可附支撑材料</w:t>
            </w: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字数不超过300字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</w:tcPr>
          <w:p>
            <w:pPr>
              <w:jc w:val="both"/>
              <w:rPr>
                <w:rStyle w:val="6"/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辅导员意见（含操行鉴定、</w:t>
            </w:r>
            <w:bookmarkStart w:id="0" w:name="_GoBack"/>
            <w:bookmarkEnd w:id="0"/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必修课是否有不及格情况）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22" w:type="dxa"/>
          </w:tcPr>
          <w:p>
            <w:pPr>
              <w:jc w:val="both"/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指导教师意见（含对该团队评价）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备注：投标时辅导员、指导教师意见栏，内容以电子版呈现，团队中标后需辅导员、指导教师手写签字（若存在弄虚作假行为，取消中标资格）。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BF068"/>
    <w:multiLevelType w:val="singleLevel"/>
    <w:tmpl w:val="7D9BF0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mRkYmNhYzA5ZDgzYWVhYmZiNzhhYmQzYzgxMzYifQ=="/>
  </w:docVars>
  <w:rsids>
    <w:rsidRoot w:val="00000000"/>
    <w:rsid w:val="047520EA"/>
    <w:rsid w:val="15673457"/>
    <w:rsid w:val="2AE27102"/>
    <w:rsid w:val="457864C8"/>
    <w:rsid w:val="45F369ED"/>
    <w:rsid w:val="4ADB057A"/>
    <w:rsid w:val="52307112"/>
    <w:rsid w:val="53BD5297"/>
    <w:rsid w:val="59B61229"/>
    <w:rsid w:val="68CC5A0C"/>
    <w:rsid w:val="68DA74D0"/>
    <w:rsid w:val="6D3A316F"/>
    <w:rsid w:val="764E0EE4"/>
    <w:rsid w:val="779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1355</Words>
  <Characters>1419</Characters>
  <Lines>0</Lines>
  <Paragraphs>0</Paragraphs>
  <TotalTime>0</TotalTime>
  <ScaleCrop>false</ScaleCrop>
  <LinksUpToDate>false</LinksUpToDate>
  <CharactersWithSpaces>1632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2022-10-25T01:03:00Z</dcterms:created>
  <dc:creator>ningwei</dc:creator>
  <cp:lastModifiedBy>邓桉树</cp:lastModifiedBy>
  <dcterms:modified xsi:type="dcterms:W3CDTF">2023-02-22T01:37:53Z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6AFE99E8215648CB9D924D1CF40E6ECD</vt:lpwstr>
  </property>
</Properties>
</file>